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3B003475" w:rsidR="00742543" w:rsidRDefault="00E41AD8" w:rsidP="00742543">
      <w:pPr>
        <w:pStyle w:val="Heading1"/>
        <w:rPr>
          <w:color w:val="auto"/>
        </w:rPr>
      </w:pPr>
      <w:r>
        <w:rPr>
          <w:color w:val="auto"/>
        </w:rPr>
        <w:t>High-Dose</w:t>
      </w:r>
      <w:r w:rsidR="00742543" w:rsidRPr="00742543">
        <w:rPr>
          <w:color w:val="auto"/>
        </w:rPr>
        <w:t xml:space="preserve"> Buprenorphine: </w:t>
      </w:r>
      <w:r>
        <w:rPr>
          <w:color w:val="auto"/>
        </w:rPr>
        <w:t>Clinical Considerations</w:t>
      </w:r>
    </w:p>
    <w:p w14:paraId="28AB96BD" w14:textId="1107A3C7" w:rsidR="00E41AD8" w:rsidRDefault="00E41AD8" w:rsidP="00742543">
      <w:pPr>
        <w:pStyle w:val="Heading2"/>
        <w:rPr>
          <w:color w:val="auto"/>
        </w:rPr>
      </w:pPr>
      <w:r w:rsidRPr="00E41AD8">
        <w:rPr>
          <w:color w:val="auto"/>
        </w:rPr>
        <w:t>Background</w:t>
      </w:r>
    </w:p>
    <w:p w14:paraId="473FA16E" w14:textId="77777777" w:rsidR="00E41AD8" w:rsidRDefault="00E41AD8" w:rsidP="00E41AD8">
      <w:pPr>
        <w:pStyle w:val="ListParagraph"/>
        <w:numPr>
          <w:ilvl w:val="0"/>
          <w:numId w:val="3"/>
        </w:numPr>
      </w:pPr>
      <w:r w:rsidRPr="00E41AD8">
        <w:t xml:space="preserve">Buprenorphine is an effective treatment for opioid use disorder (OUD). </w:t>
      </w:r>
      <w:hyperlink r:id="rId5" w:tgtFrame="_blank" w:history="1">
        <w:r w:rsidRPr="00E41AD8">
          <w:rPr>
            <w:rStyle w:val="Hyperlink"/>
          </w:rPr>
          <w:t>Dosing guidance</w:t>
        </w:r>
      </w:hyperlink>
      <w:r w:rsidRPr="00E41AD8">
        <w:t xml:space="preserve"> has historically recommended a maximum daily dose of 24mg.</w:t>
      </w:r>
    </w:p>
    <w:p w14:paraId="3DCEF66C" w14:textId="27DC3DE7" w:rsidR="00E41AD8" w:rsidRDefault="00E41AD8" w:rsidP="00E41AD8">
      <w:pPr>
        <w:pStyle w:val="ListParagraph"/>
        <w:numPr>
          <w:ilvl w:val="0"/>
          <w:numId w:val="3"/>
        </w:numPr>
      </w:pPr>
      <w:r w:rsidRPr="00E41AD8">
        <w:t xml:space="preserve">A </w:t>
      </w:r>
      <w:hyperlink r:id="rId6" w:tgtFrame="_blank" w:history="1">
        <w:r w:rsidRPr="00E41AD8">
          <w:rPr>
            <w:rStyle w:val="Hyperlink"/>
          </w:rPr>
          <w:t>2024 joint statement</w:t>
        </w:r>
      </w:hyperlink>
      <w:r w:rsidRPr="00E41AD8">
        <w:t xml:space="preserve"> from the FDA and SAMHSA has clarified that 24mg should not be interpreted as a strict maximum, as some patients may benefit from higher doses.</w:t>
      </w:r>
    </w:p>
    <w:p w14:paraId="3B461A71" w14:textId="4F620AA4" w:rsidR="00E41AD8" w:rsidRDefault="00E41AD8" w:rsidP="00E41AD8">
      <w:pPr>
        <w:pStyle w:val="ListParagraph"/>
        <w:numPr>
          <w:ilvl w:val="1"/>
          <w:numId w:val="3"/>
        </w:numPr>
      </w:pPr>
      <w:r w:rsidRPr="00E41AD8">
        <w:t xml:space="preserve">Increased fentanyl use has prompted some clinicians </w:t>
      </w:r>
      <w:hyperlink r:id="rId7" w:tgtFrame="_blank" w:history="1">
        <w:r w:rsidRPr="00E41AD8">
          <w:rPr>
            <w:rStyle w:val="Hyperlink"/>
          </w:rPr>
          <w:t>to opt for</w:t>
        </w:r>
      </w:hyperlink>
      <w:r w:rsidRPr="00E41AD8">
        <w:t xml:space="preserve"> higher doses.</w:t>
      </w:r>
    </w:p>
    <w:p w14:paraId="24664639" w14:textId="27325651" w:rsidR="00E41AD8" w:rsidRDefault="00E41AD8" w:rsidP="00E41AD8">
      <w:pPr>
        <w:pStyle w:val="ListParagraph"/>
        <w:numPr>
          <w:ilvl w:val="0"/>
          <w:numId w:val="3"/>
        </w:numPr>
      </w:pPr>
      <w:r>
        <w:t xml:space="preserve">Higher doses (≥24 mg) may be necessary to achieve the primary goals of </w:t>
      </w:r>
      <w:hyperlink r:id="rId8" w:history="1">
        <w:r w:rsidRPr="00E41AD8">
          <w:rPr>
            <w:rStyle w:val="Hyperlink"/>
          </w:rPr>
          <w:t>buprenorphine treat</w:t>
        </w:r>
        <w:r w:rsidRPr="00E41AD8">
          <w:rPr>
            <w:rStyle w:val="Hyperlink"/>
          </w:rPr>
          <w:t>ment</w:t>
        </w:r>
      </w:hyperlink>
      <w:r>
        <w:t xml:space="preserve">: </w:t>
      </w:r>
    </w:p>
    <w:p w14:paraId="02A0BBD9" w14:textId="77777777" w:rsidR="00E41AD8" w:rsidRDefault="00E41AD8" w:rsidP="00E41AD8">
      <w:pPr>
        <w:pStyle w:val="ListParagraph"/>
        <w:numPr>
          <w:ilvl w:val="1"/>
          <w:numId w:val="3"/>
        </w:numPr>
      </w:pPr>
      <w:r>
        <w:t>Suppress opioid withdrawal</w:t>
      </w:r>
    </w:p>
    <w:p w14:paraId="6B531DB7" w14:textId="77777777" w:rsidR="00E41AD8" w:rsidRDefault="00E41AD8" w:rsidP="00E41AD8">
      <w:pPr>
        <w:pStyle w:val="ListParagraph"/>
        <w:numPr>
          <w:ilvl w:val="1"/>
          <w:numId w:val="3"/>
        </w:numPr>
      </w:pPr>
      <w:r>
        <w:t>Block the effects of illicit opioids</w:t>
      </w:r>
    </w:p>
    <w:p w14:paraId="6EA7E3ED" w14:textId="77777777" w:rsidR="00E41AD8" w:rsidRDefault="00E41AD8" w:rsidP="00E41AD8">
      <w:pPr>
        <w:pStyle w:val="ListParagraph"/>
        <w:numPr>
          <w:ilvl w:val="1"/>
          <w:numId w:val="3"/>
        </w:numPr>
      </w:pPr>
      <w:r>
        <w:t>Reduce opioid craving and stop/reduce use of illicit opioids</w:t>
      </w:r>
    </w:p>
    <w:p w14:paraId="3478486D" w14:textId="4CC3C95F" w:rsidR="00E41AD8" w:rsidRPr="00E41AD8" w:rsidRDefault="00E41AD8" w:rsidP="00E41AD8">
      <w:pPr>
        <w:pStyle w:val="ListParagraph"/>
        <w:numPr>
          <w:ilvl w:val="1"/>
          <w:numId w:val="3"/>
        </w:numPr>
      </w:pPr>
      <w:r>
        <w:t>Promote patient engagement in recovery-oriented activities</w:t>
      </w:r>
    </w:p>
    <w:p w14:paraId="0E9099E2" w14:textId="2AB3C4EA" w:rsidR="00E41AD8" w:rsidRDefault="00E41AD8" w:rsidP="00742543">
      <w:pPr>
        <w:pStyle w:val="Heading2"/>
        <w:rPr>
          <w:color w:val="auto"/>
        </w:rPr>
      </w:pPr>
      <w:r w:rsidRPr="00E41AD8">
        <w:rPr>
          <w:color w:val="auto"/>
        </w:rPr>
        <w:t>Patients taking higher doses (&gt;24mg) of buprenorphine demonstrate:</w:t>
      </w:r>
    </w:p>
    <w:p w14:paraId="40957C77" w14:textId="686276E6" w:rsidR="005E0BAB" w:rsidRDefault="005E0BAB" w:rsidP="005E0BAB">
      <w:pPr>
        <w:pStyle w:val="ListParagraph"/>
        <w:numPr>
          <w:ilvl w:val="0"/>
          <w:numId w:val="6"/>
        </w:numPr>
      </w:pPr>
      <w:hyperlink r:id="rId9" w:tgtFrame="_blank" w:history="1">
        <w:r w:rsidRPr="005E0BAB">
          <w:rPr>
            <w:rStyle w:val="Hyperlink"/>
          </w:rPr>
          <w:t xml:space="preserve">Better </w:t>
        </w:r>
      </w:hyperlink>
      <w:hyperlink r:id="rId10" w:tgtFrame="_blank" w:history="1">
        <w:r w:rsidRPr="005E0BAB">
          <w:rPr>
            <w:rStyle w:val="Hyperlink"/>
          </w:rPr>
          <w:t>retention</w:t>
        </w:r>
      </w:hyperlink>
      <w:r w:rsidRPr="005E0BAB">
        <w:t xml:space="preserve"> in </w:t>
      </w:r>
      <w:hyperlink r:id="rId11" w:tgtFrame="_blank" w:history="1">
        <w:r w:rsidRPr="005E0BAB">
          <w:rPr>
            <w:rStyle w:val="Hyperlink"/>
          </w:rPr>
          <w:t>treatment</w:t>
        </w:r>
      </w:hyperlink>
    </w:p>
    <w:p w14:paraId="33CFEF91" w14:textId="15FFF5CF" w:rsidR="005E0BAB" w:rsidRDefault="005E0BAB" w:rsidP="005E0BAB">
      <w:pPr>
        <w:pStyle w:val="ListParagraph"/>
        <w:numPr>
          <w:ilvl w:val="0"/>
          <w:numId w:val="6"/>
        </w:numPr>
      </w:pPr>
      <w:r w:rsidRPr="005E0BAB">
        <w:t xml:space="preserve">Lower </w:t>
      </w:r>
      <w:hyperlink r:id="rId12" w:tgtFrame="_blank" w:history="1">
        <w:r w:rsidRPr="005E0BAB">
          <w:rPr>
            <w:rStyle w:val="Hyperlink"/>
          </w:rPr>
          <w:t>rates</w:t>
        </w:r>
      </w:hyperlink>
      <w:r w:rsidRPr="005E0BAB">
        <w:t xml:space="preserve"> of acute care utilization</w:t>
      </w:r>
    </w:p>
    <w:p w14:paraId="66E02C91" w14:textId="7E9FB29F" w:rsidR="005E0BAB" w:rsidRPr="005E0BAB" w:rsidRDefault="005E0BAB" w:rsidP="005E0BAB">
      <w:pPr>
        <w:pStyle w:val="ListParagraph"/>
        <w:numPr>
          <w:ilvl w:val="0"/>
          <w:numId w:val="6"/>
        </w:numPr>
      </w:pPr>
      <w:r w:rsidRPr="005E0BAB">
        <w:t xml:space="preserve">Decreased </w:t>
      </w:r>
      <w:hyperlink r:id="rId13" w:tgtFrame="_blank" w:history="1">
        <w:r w:rsidRPr="005E0BAB">
          <w:rPr>
            <w:rStyle w:val="Hyperlink"/>
          </w:rPr>
          <w:t>mortality</w:t>
        </w:r>
      </w:hyperlink>
    </w:p>
    <w:p w14:paraId="71F530F4" w14:textId="555CB2B2" w:rsidR="00742543" w:rsidRPr="00742543" w:rsidRDefault="005E0BAB" w:rsidP="00742543">
      <w:pPr>
        <w:pStyle w:val="Heading2"/>
        <w:rPr>
          <w:color w:val="auto"/>
        </w:rPr>
      </w:pPr>
      <w:r>
        <w:rPr>
          <w:color w:val="auto"/>
        </w:rPr>
        <w:t>Clinical Considerations</w:t>
      </w:r>
    </w:p>
    <w:p w14:paraId="364CB151" w14:textId="5204CDD5" w:rsidR="005E0BAB" w:rsidRDefault="005E0BAB" w:rsidP="005E0BAB">
      <w:pPr>
        <w:pStyle w:val="ListParagraph"/>
        <w:numPr>
          <w:ilvl w:val="0"/>
          <w:numId w:val="7"/>
        </w:numPr>
      </w:pPr>
      <w:r w:rsidRPr="005E0BAB">
        <w:t xml:space="preserve">Patient-Centered Dosing: Patients experiencing persistent withdrawal symptoms and continued opioid use might benefit from a buprenorphine dose to &gt;24mg. For long-acting injectable buprenorphine formulations, continuing at the higher end of the dose range (e.g., </w:t>
      </w:r>
      <w:proofErr w:type="spellStart"/>
      <w:r w:rsidRPr="005E0BAB">
        <w:t>Sublocade</w:t>
      </w:r>
      <w:proofErr w:type="spellEnd"/>
      <w:r w:rsidRPr="005E0BAB">
        <w:t xml:space="preserve"> 300mg/month or </w:t>
      </w:r>
      <w:proofErr w:type="spellStart"/>
      <w:r w:rsidRPr="005E0BAB">
        <w:t>Brixadi</w:t>
      </w:r>
      <w:proofErr w:type="spellEnd"/>
      <w:r w:rsidRPr="005E0BAB">
        <w:t xml:space="preserve"> 128mg/month) is likely also to have clinical benefit.</w:t>
      </w:r>
    </w:p>
    <w:p w14:paraId="136E07D8" w14:textId="1CC1F5BB" w:rsidR="005E0BAB" w:rsidRDefault="005E0BAB" w:rsidP="005E0BAB">
      <w:pPr>
        <w:pStyle w:val="ListParagraph"/>
        <w:numPr>
          <w:ilvl w:val="0"/>
          <w:numId w:val="7"/>
        </w:numPr>
      </w:pPr>
      <w:r w:rsidRPr="005E0BAB">
        <w:t>Harm Reduction Perspective: Higher doses may help stabilize patients in an environment where fentanyl is prevalent, reducing the likelihood of relapse and overdose.</w:t>
      </w:r>
    </w:p>
    <w:p w14:paraId="68F2A7C2" w14:textId="77777777" w:rsidR="005E0BAB" w:rsidRDefault="005E0BAB" w:rsidP="005E0BAB">
      <w:pPr>
        <w:pStyle w:val="ListParagraph"/>
        <w:numPr>
          <w:ilvl w:val="0"/>
          <w:numId w:val="7"/>
        </w:numPr>
      </w:pPr>
      <w:r>
        <w:t xml:space="preserve">Safety: </w:t>
      </w:r>
    </w:p>
    <w:p w14:paraId="401AA6FA" w14:textId="539C9563" w:rsidR="005E0BAB" w:rsidRDefault="005E0BAB" w:rsidP="005E0BAB">
      <w:pPr>
        <w:pStyle w:val="ListParagraph"/>
        <w:numPr>
          <w:ilvl w:val="1"/>
          <w:numId w:val="7"/>
        </w:numPr>
      </w:pPr>
      <w:r>
        <w:t xml:space="preserve">Overdose/Respiratory Depression: A </w:t>
      </w:r>
      <w:hyperlink r:id="rId14" w:history="1">
        <w:r w:rsidRPr="005E0BAB">
          <w:rPr>
            <w:rStyle w:val="Hyperlink"/>
          </w:rPr>
          <w:t>recent literature review</w:t>
        </w:r>
      </w:hyperlink>
      <w:r>
        <w:t xml:space="preserve"> found that high-dose buprenorphine initiation is not associated with increased overdose risk or respiratory depression. Overdose with buprenorphine in adults is not </w:t>
      </w:r>
      <w:r>
        <w:lastRenderedPageBreak/>
        <w:t xml:space="preserve">common and most likely </w:t>
      </w:r>
      <w:hyperlink r:id="rId15" w:history="1">
        <w:r w:rsidRPr="005E0BAB">
          <w:rPr>
            <w:rStyle w:val="Hyperlink"/>
          </w:rPr>
          <w:t>occurs</w:t>
        </w:r>
      </w:hyperlink>
      <w:r>
        <w:t xml:space="preserve"> in individuals without tolerance or who use alcohol or benzodiazepines.</w:t>
      </w:r>
    </w:p>
    <w:p w14:paraId="188FEC09" w14:textId="651465E6" w:rsidR="005E0BAB" w:rsidRPr="005E0BAB" w:rsidRDefault="005E0BAB" w:rsidP="005E0BAB">
      <w:pPr>
        <w:pStyle w:val="ListParagraph"/>
        <w:numPr>
          <w:ilvl w:val="1"/>
          <w:numId w:val="7"/>
        </w:numPr>
      </w:pPr>
      <w:r>
        <w:t xml:space="preserve">Diversion: Although diversion (unauthorized use of buprenorphine) remains a </w:t>
      </w:r>
      <w:hyperlink r:id="rId16" w:history="1">
        <w:r w:rsidRPr="005E0BAB">
          <w:rPr>
            <w:rStyle w:val="Hyperlink"/>
          </w:rPr>
          <w:t>concern</w:t>
        </w:r>
      </w:hyperlink>
      <w:r>
        <w:t xml:space="preserve">, the most common use of nonprescribed buprenorphine is </w:t>
      </w:r>
      <w:hyperlink r:id="rId17" w:history="1">
        <w:r w:rsidRPr="005E0BAB">
          <w:rPr>
            <w:rStyle w:val="Hyperlink"/>
          </w:rPr>
          <w:t>self-treatment</w:t>
        </w:r>
      </w:hyperlink>
      <w:r>
        <w:t xml:space="preserve"> of OUD when </w:t>
      </w:r>
      <w:hyperlink r:id="rId18" w:history="1">
        <w:r w:rsidRPr="005E0BAB">
          <w:rPr>
            <w:rStyle w:val="Hyperlink"/>
          </w:rPr>
          <w:t>legal access</w:t>
        </w:r>
      </w:hyperlink>
      <w:r>
        <w:t xml:space="preserve"> is unavailable. In the context of the fentanyl epidemic, buprenorphine misuse poses less risk than illicit opioid use. Patients should be educated on safe storage and misuse.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9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1987">
    <w:abstractNumId w:val="6"/>
  </w:num>
  <w:num w:numId="2" w16cid:durableId="481387728">
    <w:abstractNumId w:val="3"/>
  </w:num>
  <w:num w:numId="3" w16cid:durableId="1683622399">
    <w:abstractNumId w:val="2"/>
  </w:num>
  <w:num w:numId="4" w16cid:durableId="388695365">
    <w:abstractNumId w:val="4"/>
  </w:num>
  <w:num w:numId="5" w16cid:durableId="516386396">
    <w:abstractNumId w:val="0"/>
  </w:num>
  <w:num w:numId="6" w16cid:durableId="669068069">
    <w:abstractNumId w:val="5"/>
  </w:num>
  <w:num w:numId="7" w16cid:durableId="213995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144E8D"/>
    <w:rsid w:val="005E0BAB"/>
    <w:rsid w:val="00742543"/>
    <w:rsid w:val="007C32CC"/>
    <w:rsid w:val="00D0289C"/>
    <w:rsid w:val="00D63751"/>
    <w:rsid w:val="00E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s.asam.org/sitefinity-production-blobs/docs/default-source/guidelines/npg-jam-supplement.pdf?sfvrsn=a00a52c2_4" TargetMode="External"/><Relationship Id="rId13" Type="http://schemas.openxmlformats.org/officeDocument/2006/relationships/hyperlink" Target="https://journals.lww.com/journaladdictionmedicine/fulltext/2024/05000/higher_first_30_day_dose_of_buprenorphine_for.15.aspx" TargetMode="External"/><Relationship Id="rId18" Type="http://schemas.openxmlformats.org/officeDocument/2006/relationships/hyperlink" Target="https://www.sciencedirect.com/science/article/pii/S0376871618307245?via%3Dihu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nlinelibrary.wiley.com/doi/10.1002/wps.20995" TargetMode="External"/><Relationship Id="rId12" Type="http://schemas.openxmlformats.org/officeDocument/2006/relationships/hyperlink" Target="https://jamanetwork.com/journals/jamanetworkopen/fullarticle/2824049" TargetMode="External"/><Relationship Id="rId17" Type="http://schemas.openxmlformats.org/officeDocument/2006/relationships/hyperlink" Target="https://pmc.ncbi.nlm.nih.gov/articles/PMC680075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satjournal.com/article/S0740-5472(18)30472-0/fulltex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da.gov/media/184748/download?attachment" TargetMode="External"/><Relationship Id="rId11" Type="http://schemas.openxmlformats.org/officeDocument/2006/relationships/hyperlink" Target="https://onlinelibrary.wiley.com/doi/10.1111/add.70002" TargetMode="External"/><Relationship Id="rId5" Type="http://schemas.openxmlformats.org/officeDocument/2006/relationships/hyperlink" Target="https://journals.lww.com/journaladdictionmedicine/fulltext/2023/09000/evidence_on_buprenorphine_dose_limits__a_review.4.aspx" TargetMode="External"/><Relationship Id="rId15" Type="http://schemas.openxmlformats.org/officeDocument/2006/relationships/hyperlink" Target="https://www.samhsa.gov/sites/default/files/quick-start-guide.pdf" TargetMode="External"/><Relationship Id="rId10" Type="http://schemas.openxmlformats.org/officeDocument/2006/relationships/hyperlink" Target="https://jamanetwork.com/journals/jamanetworkopen/fullarticle/2809633" TargetMode="External"/><Relationship Id="rId19" Type="http://schemas.openxmlformats.org/officeDocument/2006/relationships/hyperlink" Target="https://www.marylandmac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10.1111/add.16600" TargetMode="External"/><Relationship Id="rId14" Type="http://schemas.openxmlformats.org/officeDocument/2006/relationships/hyperlink" Target="https://journals.lww.com/journaladdictionmedicine/abstract/2024/07000/high_dose_buprenorphine_initiation__a_scoping.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3103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2026-03-31T16:31:00Z</dcterms:created>
  <dcterms:modified xsi:type="dcterms:W3CDTF">2026-03-31T16:31:00Z</dcterms:modified>
</cp:coreProperties>
</file>