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1503" w14:textId="304D3258" w:rsidR="00D0289C" w:rsidRDefault="00742543" w:rsidP="00742543">
      <w:pPr>
        <w:pStyle w:val="Title"/>
        <w:jc w:val="center"/>
      </w:pPr>
      <w:r w:rsidRPr="00742543">
        <w:t>MACS Fact Sheet</w:t>
      </w:r>
    </w:p>
    <w:p w14:paraId="126EFCA6" w14:textId="3A8D472B" w:rsidR="009551E6" w:rsidRDefault="00D01D22" w:rsidP="009551E6">
      <w:pPr>
        <w:pStyle w:val="Heading2"/>
        <w:rPr>
          <w:color w:val="auto"/>
          <w:sz w:val="40"/>
          <w:szCs w:val="40"/>
        </w:rPr>
      </w:pPr>
      <w:r>
        <w:rPr>
          <w:color w:val="auto"/>
          <w:sz w:val="40"/>
          <w:szCs w:val="40"/>
        </w:rPr>
        <w:t>Methadone</w:t>
      </w:r>
      <w:r w:rsidR="009551E6">
        <w:rPr>
          <w:color w:val="auto"/>
          <w:sz w:val="40"/>
          <w:szCs w:val="40"/>
        </w:rPr>
        <w:t xml:space="preserve"> for Opioid Use Disorder</w:t>
      </w:r>
    </w:p>
    <w:p w14:paraId="49A198BC" w14:textId="70A14AC4" w:rsidR="000645F2" w:rsidRPr="000645F2" w:rsidRDefault="00780CBC" w:rsidP="000645F2">
      <w:pPr>
        <w:pStyle w:val="Heading2"/>
        <w:rPr>
          <w:color w:val="auto"/>
        </w:rPr>
      </w:pPr>
      <w:r>
        <w:rPr>
          <w:color w:val="auto"/>
        </w:rPr>
        <w:t xml:space="preserve">What is </w:t>
      </w:r>
      <w:r w:rsidR="00D01D22">
        <w:rPr>
          <w:color w:val="auto"/>
        </w:rPr>
        <w:t>Methadone</w:t>
      </w:r>
      <w:r>
        <w:rPr>
          <w:color w:val="auto"/>
        </w:rPr>
        <w:t>?</w:t>
      </w:r>
    </w:p>
    <w:p w14:paraId="66756F10" w14:textId="12B3D47C" w:rsidR="00D01D22" w:rsidRDefault="00D01D22" w:rsidP="00D01D22">
      <w:pPr>
        <w:pStyle w:val="ListParagraph"/>
        <w:numPr>
          <w:ilvl w:val="0"/>
          <w:numId w:val="23"/>
        </w:numPr>
      </w:pPr>
      <w:r w:rsidRPr="00D01D22">
        <w:t xml:space="preserve">A schedule II medication approved by the FDA to treat opioid use disorder (OUD) </w:t>
      </w:r>
      <w:hyperlink r:id="rId5" w:history="1">
        <w:r w:rsidRPr="00D01D22">
          <w:rPr>
            <w:rStyle w:val="Hyperlink"/>
          </w:rPr>
          <w:t>in 1972</w:t>
        </w:r>
      </w:hyperlink>
      <w:r w:rsidRPr="00D01D22">
        <w:t xml:space="preserve">. It is a long-acting opioid agonist that helps reduce cravings and withdrawal symptoms, blocks the effects of other opioid agonists, stabilizes brain chemistry, significantly reduces overdose, and supports long-term recovery. One of three FDA-approved medications for OUD (alongside buprenorphine and naltrexone) that can be administered in an </w:t>
      </w:r>
      <w:hyperlink r:id="rId6" w:history="1">
        <w:r w:rsidRPr="00D01D22">
          <w:rPr>
            <w:rStyle w:val="Hyperlink"/>
          </w:rPr>
          <w:t>oral tablet, ready-to-dispense liquid, or a water-dissolvable diskette</w:t>
        </w:r>
      </w:hyperlink>
      <w:r w:rsidRPr="00D01D22">
        <w:t xml:space="preserve">. </w:t>
      </w:r>
    </w:p>
    <w:p w14:paraId="1A524F17" w14:textId="1617C22B" w:rsidR="000645F2" w:rsidRDefault="00D01D22" w:rsidP="00D01D22">
      <w:pPr>
        <w:pStyle w:val="ListParagraph"/>
        <w:numPr>
          <w:ilvl w:val="0"/>
          <w:numId w:val="23"/>
        </w:numPr>
      </w:pPr>
      <w:r w:rsidRPr="00D01D22">
        <w:t xml:space="preserve">Methadone is also approved for the treatment of pain but follows different regulations than when used for the treatment of OUD. </w:t>
      </w:r>
      <w:hyperlink r:id="rId7" w:history="1">
        <w:r w:rsidRPr="00784687">
          <w:rPr>
            <w:rStyle w:val="Hyperlink"/>
          </w:rPr>
          <w:t>Guidelines for pain management with methadone</w:t>
        </w:r>
      </w:hyperlink>
      <w:r w:rsidRPr="00D01D22">
        <w:t xml:space="preserve"> </w:t>
      </w:r>
      <w:r w:rsidR="00784687">
        <w:t>are available, as well</w:t>
      </w:r>
      <w:r w:rsidRPr="00D01D22">
        <w:t>.</w:t>
      </w:r>
    </w:p>
    <w:p w14:paraId="516F7F4F" w14:textId="76D004E8" w:rsidR="008B03C1" w:rsidRPr="000645F2" w:rsidRDefault="00780CBC" w:rsidP="000645F2">
      <w:r>
        <w:rPr>
          <w:rFonts w:asciiTheme="majorHAnsi" w:eastAsiaTheme="majorEastAsia" w:hAnsiTheme="majorHAnsi" w:cstheme="majorBidi"/>
          <w:sz w:val="32"/>
          <w:szCs w:val="32"/>
        </w:rPr>
        <w:t>What Patient</w:t>
      </w:r>
      <w:r w:rsidR="00D11FFC">
        <w:rPr>
          <w:rFonts w:asciiTheme="majorHAnsi" w:eastAsiaTheme="majorEastAsia" w:hAnsiTheme="majorHAnsi" w:cstheme="majorBidi"/>
          <w:sz w:val="32"/>
          <w:szCs w:val="32"/>
        </w:rPr>
        <w:t>s</w:t>
      </w:r>
      <w:r>
        <w:rPr>
          <w:rFonts w:asciiTheme="majorHAnsi" w:eastAsiaTheme="majorEastAsia" w:hAnsiTheme="majorHAnsi" w:cstheme="majorBidi"/>
          <w:sz w:val="32"/>
          <w:szCs w:val="32"/>
        </w:rPr>
        <w:t xml:space="preserve"> Could Benefit </w:t>
      </w:r>
      <w:proofErr w:type="gramStart"/>
      <w:r>
        <w:rPr>
          <w:rFonts w:asciiTheme="majorHAnsi" w:eastAsiaTheme="majorEastAsia" w:hAnsiTheme="majorHAnsi" w:cstheme="majorBidi"/>
          <w:sz w:val="32"/>
          <w:szCs w:val="32"/>
        </w:rPr>
        <w:t>From</w:t>
      </w:r>
      <w:proofErr w:type="gramEnd"/>
      <w:r>
        <w:rPr>
          <w:rFonts w:asciiTheme="majorHAnsi" w:eastAsiaTheme="majorEastAsia" w:hAnsiTheme="majorHAnsi" w:cstheme="majorBidi"/>
          <w:sz w:val="32"/>
          <w:szCs w:val="32"/>
        </w:rPr>
        <w:t xml:space="preserve"> </w:t>
      </w:r>
      <w:r w:rsidR="00784687">
        <w:rPr>
          <w:rFonts w:asciiTheme="majorHAnsi" w:eastAsiaTheme="majorEastAsia" w:hAnsiTheme="majorHAnsi" w:cstheme="majorBidi"/>
          <w:sz w:val="32"/>
          <w:szCs w:val="32"/>
        </w:rPr>
        <w:t>Methadone</w:t>
      </w:r>
      <w:r>
        <w:rPr>
          <w:rFonts w:asciiTheme="majorHAnsi" w:eastAsiaTheme="majorEastAsia" w:hAnsiTheme="majorHAnsi" w:cstheme="majorBidi"/>
          <w:sz w:val="32"/>
          <w:szCs w:val="32"/>
        </w:rPr>
        <w:t>?</w:t>
      </w:r>
    </w:p>
    <w:p w14:paraId="7F6AE5EA" w14:textId="77777777" w:rsidR="00784687" w:rsidRDefault="00784687" w:rsidP="00971540">
      <w:pPr>
        <w:pStyle w:val="ListParagraph"/>
        <w:numPr>
          <w:ilvl w:val="0"/>
          <w:numId w:val="19"/>
        </w:numPr>
      </w:pPr>
      <w:r w:rsidRPr="00784687">
        <w:t>Patients with moderate to severe OUD, especially with long-term or high-potency opioid use such as fentanyl</w:t>
      </w:r>
    </w:p>
    <w:p w14:paraId="11022D9B" w14:textId="77777777" w:rsidR="00784687" w:rsidRDefault="00784687" w:rsidP="00971540">
      <w:pPr>
        <w:pStyle w:val="ListParagraph"/>
        <w:numPr>
          <w:ilvl w:val="0"/>
          <w:numId w:val="19"/>
        </w:numPr>
      </w:pPr>
      <w:r w:rsidRPr="00784687">
        <w:t>Individuals who have not responded adequately to buprenorphine</w:t>
      </w:r>
    </w:p>
    <w:p w14:paraId="18A98103" w14:textId="77777777" w:rsidR="00784687" w:rsidRDefault="00784687" w:rsidP="00971540">
      <w:pPr>
        <w:pStyle w:val="ListParagraph"/>
        <w:numPr>
          <w:ilvl w:val="0"/>
          <w:numId w:val="19"/>
        </w:numPr>
      </w:pPr>
      <w:r w:rsidRPr="00784687">
        <w:t>Patients who benefit from daily structure and monitoring</w:t>
      </w:r>
    </w:p>
    <w:p w14:paraId="24F96A3C" w14:textId="77777777" w:rsidR="00784687" w:rsidRDefault="00784687" w:rsidP="00971540">
      <w:pPr>
        <w:pStyle w:val="ListParagraph"/>
        <w:numPr>
          <w:ilvl w:val="0"/>
          <w:numId w:val="19"/>
        </w:numPr>
      </w:pPr>
      <w:r w:rsidRPr="00784687">
        <w:t>Pregnant patients with OUD</w:t>
      </w:r>
    </w:p>
    <w:p w14:paraId="551D306A" w14:textId="21E68E9A" w:rsidR="00971540" w:rsidRDefault="00784687" w:rsidP="00971540">
      <w:pPr>
        <w:pStyle w:val="ListParagraph"/>
        <w:numPr>
          <w:ilvl w:val="0"/>
          <w:numId w:val="19"/>
        </w:numPr>
      </w:pPr>
      <w:r w:rsidRPr="00784687">
        <w:t>Patients with co-occurring chronic pain, where methadone may treat both pain and OUD</w:t>
      </w:r>
    </w:p>
    <w:p w14:paraId="73CC87CD" w14:textId="30562270" w:rsidR="00550144" w:rsidRDefault="00780CBC" w:rsidP="00550144">
      <w:pPr>
        <w:pStyle w:val="Heading2"/>
        <w:rPr>
          <w:color w:val="auto"/>
        </w:rPr>
      </w:pPr>
      <w:r>
        <w:rPr>
          <w:color w:val="auto"/>
        </w:rPr>
        <w:t xml:space="preserve">How Is </w:t>
      </w:r>
      <w:r w:rsidR="00784687">
        <w:rPr>
          <w:color w:val="auto"/>
        </w:rPr>
        <w:t>Methadone</w:t>
      </w:r>
      <w:r>
        <w:rPr>
          <w:color w:val="auto"/>
        </w:rPr>
        <w:t xml:space="preserve"> for OUD Accessed by Patients?</w:t>
      </w:r>
    </w:p>
    <w:p w14:paraId="60772BCE" w14:textId="77777777" w:rsidR="00784687" w:rsidRDefault="00784687" w:rsidP="00D75ECE">
      <w:pPr>
        <w:pStyle w:val="ListParagraph"/>
        <w:numPr>
          <w:ilvl w:val="0"/>
          <w:numId w:val="21"/>
        </w:numPr>
      </w:pPr>
      <w:r w:rsidRPr="00784687">
        <w:t>Methadone is administered through the Opioid Treatment Program (OTP). OTPs must be certified and accredited under state and federal regulations to dispense methadone for OUD.</w:t>
      </w:r>
    </w:p>
    <w:p w14:paraId="36213598" w14:textId="1809D44C" w:rsidR="00784687" w:rsidRDefault="00784687" w:rsidP="00784687">
      <w:pPr>
        <w:pStyle w:val="ListParagraph"/>
        <w:numPr>
          <w:ilvl w:val="1"/>
          <w:numId w:val="21"/>
        </w:numPr>
      </w:pPr>
      <w:r w:rsidRPr="00784687">
        <w:t xml:space="preserve">A </w:t>
      </w:r>
      <w:hyperlink r:id="rId8" w:history="1">
        <w:r w:rsidRPr="00784687">
          <w:rPr>
            <w:rStyle w:val="Hyperlink"/>
          </w:rPr>
          <w:t>list of licensed OTPs in Maryland</w:t>
        </w:r>
      </w:hyperlink>
      <w:r w:rsidRPr="00784687">
        <w:t xml:space="preserve"> can be found.</w:t>
      </w:r>
    </w:p>
    <w:p w14:paraId="7C3E58FC" w14:textId="4591CF5A" w:rsidR="00784687" w:rsidRDefault="00784687" w:rsidP="00784687">
      <w:pPr>
        <w:pStyle w:val="ListParagraph"/>
        <w:numPr>
          <w:ilvl w:val="0"/>
          <w:numId w:val="21"/>
        </w:numPr>
      </w:pPr>
      <w:r w:rsidRPr="00784687">
        <w:t xml:space="preserve">Some settings, such as hospitals that are not licensed OTP but have specific FDA approval, are now permitted to dispense methadone for </w:t>
      </w:r>
      <w:hyperlink r:id="rId9" w:history="1">
        <w:r w:rsidRPr="00784687">
          <w:rPr>
            <w:rStyle w:val="Hyperlink"/>
          </w:rPr>
          <w:t>3 days</w:t>
        </w:r>
      </w:hyperlink>
      <w:r w:rsidRPr="00784687">
        <w:t xml:space="preserve"> to support patients who have a gap in methadone treatment or need to be initiated on methadone treatment.</w:t>
      </w:r>
    </w:p>
    <w:p w14:paraId="0ECEB365" w14:textId="77777777" w:rsidR="00784687" w:rsidRDefault="00784687" w:rsidP="00784687">
      <w:pPr>
        <w:pStyle w:val="ListParagraph"/>
        <w:numPr>
          <w:ilvl w:val="0"/>
          <w:numId w:val="21"/>
        </w:numPr>
      </w:pPr>
      <w:r>
        <w:lastRenderedPageBreak/>
        <w:t>I</w:t>
      </w:r>
      <w:r w:rsidRPr="00784687">
        <w:t>n 2024, OTP regulations were expanded to allow for less restrictive take-home methadone flexibilities, when clinically appropriate, with the following maximum take-home quantities:</w:t>
      </w:r>
    </w:p>
    <w:p w14:paraId="2AFB1326" w14:textId="77777777" w:rsidR="00784687" w:rsidRDefault="00784687" w:rsidP="00784687">
      <w:pPr>
        <w:pStyle w:val="ListParagraph"/>
        <w:numPr>
          <w:ilvl w:val="1"/>
          <w:numId w:val="21"/>
        </w:numPr>
      </w:pPr>
      <w:r w:rsidRPr="00784687">
        <w:t>Up to 7 days during the first 14 days of treatment</w:t>
      </w:r>
    </w:p>
    <w:p w14:paraId="394D8EF2" w14:textId="77777777" w:rsidR="00784687" w:rsidRDefault="00784687" w:rsidP="00784687">
      <w:pPr>
        <w:pStyle w:val="ListParagraph"/>
        <w:numPr>
          <w:ilvl w:val="1"/>
          <w:numId w:val="21"/>
        </w:numPr>
      </w:pPr>
      <w:r w:rsidRPr="00784687">
        <w:t>Up to 14 days starting day 15</w:t>
      </w:r>
    </w:p>
    <w:p w14:paraId="10A800E4" w14:textId="77DB7612" w:rsidR="009B45C2" w:rsidRDefault="00784687" w:rsidP="00784687">
      <w:pPr>
        <w:pStyle w:val="ListParagraph"/>
        <w:numPr>
          <w:ilvl w:val="1"/>
          <w:numId w:val="21"/>
        </w:numPr>
      </w:pPr>
      <w:r w:rsidRPr="00784687">
        <w:t>Up to 28 days starting day 31</w:t>
      </w:r>
    </w:p>
    <w:p w14:paraId="2EFE9CFB" w14:textId="49991BEB" w:rsidR="00780CBC" w:rsidRDefault="00780CBC" w:rsidP="00780CBC">
      <w:pPr>
        <w:pStyle w:val="Heading2"/>
        <w:rPr>
          <w:color w:val="auto"/>
        </w:rPr>
      </w:pPr>
      <w:r>
        <w:rPr>
          <w:color w:val="auto"/>
        </w:rPr>
        <w:t xml:space="preserve">What Are Clinical Considerations When Starting </w:t>
      </w:r>
      <w:r w:rsidR="00784687">
        <w:rPr>
          <w:color w:val="auto"/>
        </w:rPr>
        <w:t>Methadone</w:t>
      </w:r>
      <w:r>
        <w:rPr>
          <w:color w:val="auto"/>
        </w:rPr>
        <w:t>?</w:t>
      </w:r>
    </w:p>
    <w:p w14:paraId="3A21140F" w14:textId="494250A3" w:rsidR="00784687" w:rsidRDefault="00784687" w:rsidP="00780CBC">
      <w:pPr>
        <w:pStyle w:val="ListParagraph"/>
        <w:numPr>
          <w:ilvl w:val="0"/>
          <w:numId w:val="24"/>
        </w:numPr>
      </w:pPr>
      <w:hyperlink r:id="rId10" w:history="1">
        <w:r w:rsidRPr="00784687">
          <w:rPr>
            <w:rStyle w:val="Hyperlink"/>
          </w:rPr>
          <w:t>Clinical benefits</w:t>
        </w:r>
      </w:hyperlink>
      <w:r w:rsidRPr="00784687">
        <w:t xml:space="preserve"> include reduced illicit opioid use and cravings, reduced overdose risk, and improved retention in treatment and quality of life.</w:t>
      </w:r>
    </w:p>
    <w:p w14:paraId="5BBA97E8" w14:textId="77777777" w:rsidR="00784687" w:rsidRDefault="00784687" w:rsidP="00784687">
      <w:pPr>
        <w:pStyle w:val="ListParagraph"/>
        <w:numPr>
          <w:ilvl w:val="1"/>
          <w:numId w:val="24"/>
        </w:numPr>
      </w:pPr>
      <w:r w:rsidRPr="00784687">
        <w:t>The first day total dose of methadone is typically 30 mg and should not exceed 50 mg. Determination of dose should be patient centered. Higher starting doses are often required in patients with increased tolerance due to the use of high-potency opioids such as fentanyl.</w:t>
      </w:r>
    </w:p>
    <w:p w14:paraId="0B2CCDDC" w14:textId="1354ABB2" w:rsidR="00784687" w:rsidRDefault="00784687" w:rsidP="00784687">
      <w:pPr>
        <w:pStyle w:val="ListParagraph"/>
        <w:numPr>
          <w:ilvl w:val="0"/>
          <w:numId w:val="24"/>
        </w:numPr>
      </w:pPr>
      <w:hyperlink r:id="rId11" w:history="1">
        <w:r w:rsidRPr="00784687">
          <w:rPr>
            <w:rStyle w:val="Hyperlink"/>
          </w:rPr>
          <w:t>Side effects and safety concerns</w:t>
        </w:r>
      </w:hyperlink>
      <w:r w:rsidRPr="00784687">
        <w:t xml:space="preserve"> associated with methadone, including sedation, respiratory depression, accidental overdose, and QTc prolongation, should be monitored during initiation or dose changes.</w:t>
      </w:r>
    </w:p>
    <w:p w14:paraId="13AA7CE7" w14:textId="77777777" w:rsidR="00784687" w:rsidRDefault="00784687" w:rsidP="00784687">
      <w:pPr>
        <w:pStyle w:val="ListParagraph"/>
        <w:numPr>
          <w:ilvl w:val="1"/>
          <w:numId w:val="24"/>
        </w:numPr>
      </w:pPr>
      <w:r w:rsidRPr="00784687">
        <w:t xml:space="preserve">Because of the increased risks of respiratory depression, methadone carries </w:t>
      </w:r>
      <w:proofErr w:type="gramStart"/>
      <w:r w:rsidRPr="00784687">
        <w:t>a</w:t>
      </w:r>
      <w:proofErr w:type="gramEnd"/>
      <w:r w:rsidRPr="00784687">
        <w:t xml:space="preserve"> FDA black box warning on the increased risks of respiratory depression.</w:t>
      </w:r>
    </w:p>
    <w:p w14:paraId="79869AD3" w14:textId="77777777" w:rsidR="00784687" w:rsidRDefault="00784687" w:rsidP="00784687">
      <w:pPr>
        <w:pStyle w:val="ListParagraph"/>
        <w:numPr>
          <w:ilvl w:val="1"/>
          <w:numId w:val="24"/>
        </w:numPr>
      </w:pPr>
      <w:r w:rsidRPr="00784687">
        <w:t>Overdose risks are also elevated for older adults, patients with respiratory illnesses, or patients using other sedatives.</w:t>
      </w:r>
    </w:p>
    <w:p w14:paraId="5DD52DD8" w14:textId="77777777" w:rsidR="00784687" w:rsidRDefault="00784687" w:rsidP="00784687">
      <w:pPr>
        <w:pStyle w:val="ListParagraph"/>
        <w:numPr>
          <w:ilvl w:val="0"/>
          <w:numId w:val="24"/>
        </w:numPr>
      </w:pPr>
      <w:r w:rsidRPr="00784687">
        <w:t>Given the above safety concerns, naloxone/Narcan should also be prescribed/provided.</w:t>
      </w:r>
    </w:p>
    <w:p w14:paraId="7326A7C6" w14:textId="7E9F81BA" w:rsidR="00780CBC" w:rsidRDefault="00784687" w:rsidP="00784687">
      <w:pPr>
        <w:pStyle w:val="ListParagraph"/>
        <w:numPr>
          <w:ilvl w:val="0"/>
          <w:numId w:val="24"/>
        </w:numPr>
      </w:pPr>
      <w:r w:rsidRPr="00784687">
        <w:t xml:space="preserve">Methadone treatment for OUD may be short- or long-term, with some patients remaining in </w:t>
      </w:r>
      <w:hyperlink r:id="rId12" w:history="1">
        <w:r w:rsidRPr="00784687">
          <w:rPr>
            <w:rStyle w:val="Hyperlink"/>
          </w:rPr>
          <w:t>treatment for decades</w:t>
        </w:r>
      </w:hyperlink>
      <w:r w:rsidRPr="00784687">
        <w:t>, depending on clinical needs</w:t>
      </w:r>
      <w:r>
        <w:t>.</w:t>
      </w:r>
    </w:p>
    <w:p w14:paraId="657B3C36" w14:textId="33EE4B90" w:rsidR="009551E6" w:rsidRDefault="009551E6" w:rsidP="009551E6">
      <w:pPr>
        <w:pStyle w:val="Heading2"/>
        <w:rPr>
          <w:color w:val="auto"/>
        </w:rPr>
      </w:pPr>
      <w:r>
        <w:rPr>
          <w:color w:val="auto"/>
        </w:rPr>
        <w:t>When to Contact M</w:t>
      </w:r>
      <w:r w:rsidRPr="009551E6">
        <w:rPr>
          <w:color w:val="auto"/>
        </w:rPr>
        <w:t>A</w:t>
      </w:r>
      <w:r>
        <w:rPr>
          <w:color w:val="auto"/>
        </w:rPr>
        <w:t>CS</w:t>
      </w:r>
    </w:p>
    <w:p w14:paraId="3B5AC319" w14:textId="38BC98DE" w:rsidR="009551E6" w:rsidRPr="009551E6" w:rsidRDefault="009551E6" w:rsidP="009551E6">
      <w:r w:rsidRPr="009551E6">
        <w:t>Q</w:t>
      </w:r>
      <w:r w:rsidR="00784687" w:rsidRPr="00784687">
        <w:t>uestions related to the initiation and maintenance of methadone along with any general support requests when working with patients with substance use disorders and chronic pain</w:t>
      </w:r>
      <w:r w:rsidRPr="009551E6">
        <w:t>.</w:t>
      </w:r>
    </w:p>
    <w:p w14:paraId="0485A8A7" w14:textId="638311BF" w:rsidR="007C32CC" w:rsidRPr="000755A2" w:rsidRDefault="007C32CC" w:rsidP="007C32CC">
      <w:pPr>
        <w:pStyle w:val="Heading2"/>
        <w:jc w:val="center"/>
        <w:rPr>
          <w:color w:val="auto"/>
        </w:rPr>
      </w:pPr>
      <w:r w:rsidRPr="000755A2">
        <w:rPr>
          <w:color w:val="auto"/>
        </w:rPr>
        <w:t xml:space="preserve">1-855-337-MACS (6227) | </w:t>
      </w:r>
      <w:hyperlink r:id="rId13" w:history="1">
        <w:r w:rsidRPr="000755A2">
          <w:rPr>
            <w:rStyle w:val="Hyperlink"/>
            <w:color w:val="auto"/>
          </w:rPr>
          <w:t>www.marylandmacs.org</w:t>
        </w:r>
      </w:hyperlink>
      <w:r w:rsidRPr="000755A2">
        <w:rPr>
          <w:color w:val="auto"/>
        </w:rPr>
        <w:t xml:space="preserve"> | macs@som.umaryland.edu</w:t>
      </w:r>
    </w:p>
    <w:sectPr w:rsidR="007C32CC" w:rsidRPr="00075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503"/>
    <w:multiLevelType w:val="hybridMultilevel"/>
    <w:tmpl w:val="D36EAB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B0BB9"/>
    <w:multiLevelType w:val="hybridMultilevel"/>
    <w:tmpl w:val="C7C43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C4534"/>
    <w:multiLevelType w:val="hybridMultilevel"/>
    <w:tmpl w:val="21D8D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65129"/>
    <w:multiLevelType w:val="hybridMultilevel"/>
    <w:tmpl w:val="C82E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17EDF"/>
    <w:multiLevelType w:val="hybridMultilevel"/>
    <w:tmpl w:val="F3C20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B38B3"/>
    <w:multiLevelType w:val="hybridMultilevel"/>
    <w:tmpl w:val="2A6AA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11D63"/>
    <w:multiLevelType w:val="hybridMultilevel"/>
    <w:tmpl w:val="1CB23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F08D3"/>
    <w:multiLevelType w:val="hybridMultilevel"/>
    <w:tmpl w:val="8A94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F02CD"/>
    <w:multiLevelType w:val="hybridMultilevel"/>
    <w:tmpl w:val="39DA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175D9"/>
    <w:multiLevelType w:val="hybridMultilevel"/>
    <w:tmpl w:val="8BD6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24249"/>
    <w:multiLevelType w:val="hybridMultilevel"/>
    <w:tmpl w:val="47BE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17EDB"/>
    <w:multiLevelType w:val="hybridMultilevel"/>
    <w:tmpl w:val="C92E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E25B4"/>
    <w:multiLevelType w:val="hybridMultilevel"/>
    <w:tmpl w:val="396EA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2459A"/>
    <w:multiLevelType w:val="hybridMultilevel"/>
    <w:tmpl w:val="A8E6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980079"/>
    <w:multiLevelType w:val="hybridMultilevel"/>
    <w:tmpl w:val="BE84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F3226"/>
    <w:multiLevelType w:val="hybridMultilevel"/>
    <w:tmpl w:val="964C7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0E4CC3"/>
    <w:multiLevelType w:val="hybridMultilevel"/>
    <w:tmpl w:val="14CC1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27653"/>
    <w:multiLevelType w:val="hybridMultilevel"/>
    <w:tmpl w:val="65D64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56508D"/>
    <w:multiLevelType w:val="hybridMultilevel"/>
    <w:tmpl w:val="F2D8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380FC3"/>
    <w:multiLevelType w:val="hybridMultilevel"/>
    <w:tmpl w:val="9E7A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507D1"/>
    <w:multiLevelType w:val="hybridMultilevel"/>
    <w:tmpl w:val="2C204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2A5477"/>
    <w:multiLevelType w:val="hybridMultilevel"/>
    <w:tmpl w:val="3C40E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FE69E0"/>
    <w:multiLevelType w:val="hybridMultilevel"/>
    <w:tmpl w:val="E9946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21D12"/>
    <w:multiLevelType w:val="hybridMultilevel"/>
    <w:tmpl w:val="FBCA2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AE345D"/>
    <w:multiLevelType w:val="hybridMultilevel"/>
    <w:tmpl w:val="419A0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461987">
    <w:abstractNumId w:val="21"/>
  </w:num>
  <w:num w:numId="2" w16cid:durableId="481387728">
    <w:abstractNumId w:val="15"/>
  </w:num>
  <w:num w:numId="3" w16cid:durableId="1683622399">
    <w:abstractNumId w:val="12"/>
  </w:num>
  <w:num w:numId="4" w16cid:durableId="388695365">
    <w:abstractNumId w:val="18"/>
  </w:num>
  <w:num w:numId="5" w16cid:durableId="516386396">
    <w:abstractNumId w:val="2"/>
  </w:num>
  <w:num w:numId="6" w16cid:durableId="669068069">
    <w:abstractNumId w:val="19"/>
  </w:num>
  <w:num w:numId="7" w16cid:durableId="2139954297">
    <w:abstractNumId w:val="4"/>
  </w:num>
  <w:num w:numId="8" w16cid:durableId="442577164">
    <w:abstractNumId w:val="17"/>
  </w:num>
  <w:num w:numId="9" w16cid:durableId="1344672803">
    <w:abstractNumId w:val="8"/>
  </w:num>
  <w:num w:numId="10" w16cid:durableId="1418868512">
    <w:abstractNumId w:val="3"/>
  </w:num>
  <w:num w:numId="11" w16cid:durableId="651368239">
    <w:abstractNumId w:val="6"/>
  </w:num>
  <w:num w:numId="12" w16cid:durableId="1922980085">
    <w:abstractNumId w:val="20"/>
  </w:num>
  <w:num w:numId="13" w16cid:durableId="722102068">
    <w:abstractNumId w:val="5"/>
  </w:num>
  <w:num w:numId="14" w16cid:durableId="1126242287">
    <w:abstractNumId w:val="14"/>
  </w:num>
  <w:num w:numId="15" w16cid:durableId="1777821078">
    <w:abstractNumId w:val="0"/>
  </w:num>
  <w:num w:numId="16" w16cid:durableId="1401781956">
    <w:abstractNumId w:val="22"/>
  </w:num>
  <w:num w:numId="17" w16cid:durableId="2043554973">
    <w:abstractNumId w:val="10"/>
  </w:num>
  <w:num w:numId="18" w16cid:durableId="1963726018">
    <w:abstractNumId w:val="24"/>
  </w:num>
  <w:num w:numId="19" w16cid:durableId="1749108511">
    <w:abstractNumId w:val="13"/>
  </w:num>
  <w:num w:numId="20" w16cid:durableId="2093621529">
    <w:abstractNumId w:val="1"/>
  </w:num>
  <w:num w:numId="21" w16cid:durableId="14692880">
    <w:abstractNumId w:val="16"/>
  </w:num>
  <w:num w:numId="22" w16cid:durableId="1465201170">
    <w:abstractNumId w:val="11"/>
  </w:num>
  <w:num w:numId="23" w16cid:durableId="584148022">
    <w:abstractNumId w:val="7"/>
  </w:num>
  <w:num w:numId="24" w16cid:durableId="1127966262">
    <w:abstractNumId w:val="23"/>
  </w:num>
  <w:num w:numId="25" w16cid:durableId="6117902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43"/>
    <w:rsid w:val="000645F2"/>
    <w:rsid w:val="00072364"/>
    <w:rsid w:val="000755A2"/>
    <w:rsid w:val="00083601"/>
    <w:rsid w:val="00093A5D"/>
    <w:rsid w:val="000C2FC8"/>
    <w:rsid w:val="000F0292"/>
    <w:rsid w:val="00104202"/>
    <w:rsid w:val="00144E8D"/>
    <w:rsid w:val="001C2654"/>
    <w:rsid w:val="001F1741"/>
    <w:rsid w:val="00212AC4"/>
    <w:rsid w:val="002533E2"/>
    <w:rsid w:val="00261428"/>
    <w:rsid w:val="002B0C9F"/>
    <w:rsid w:val="002F1546"/>
    <w:rsid w:val="00352C75"/>
    <w:rsid w:val="00357E8F"/>
    <w:rsid w:val="0037383E"/>
    <w:rsid w:val="003D35D3"/>
    <w:rsid w:val="003E0880"/>
    <w:rsid w:val="00472650"/>
    <w:rsid w:val="00484DE6"/>
    <w:rsid w:val="004A180B"/>
    <w:rsid w:val="004C6D39"/>
    <w:rsid w:val="004F0FF6"/>
    <w:rsid w:val="005139C4"/>
    <w:rsid w:val="00550144"/>
    <w:rsid w:val="00591982"/>
    <w:rsid w:val="005B3E33"/>
    <w:rsid w:val="005E0BAB"/>
    <w:rsid w:val="006E138C"/>
    <w:rsid w:val="00712425"/>
    <w:rsid w:val="00742543"/>
    <w:rsid w:val="00746C6C"/>
    <w:rsid w:val="00764998"/>
    <w:rsid w:val="00780CBC"/>
    <w:rsid w:val="00784687"/>
    <w:rsid w:val="00791861"/>
    <w:rsid w:val="007C32CC"/>
    <w:rsid w:val="008B03C1"/>
    <w:rsid w:val="008D354D"/>
    <w:rsid w:val="009551E6"/>
    <w:rsid w:val="00971540"/>
    <w:rsid w:val="009B45C2"/>
    <w:rsid w:val="009D43B2"/>
    <w:rsid w:val="009F093A"/>
    <w:rsid w:val="009F747F"/>
    <w:rsid w:val="00A31EB0"/>
    <w:rsid w:val="00A70D0A"/>
    <w:rsid w:val="00AE3017"/>
    <w:rsid w:val="00D01D22"/>
    <w:rsid w:val="00D0289C"/>
    <w:rsid w:val="00D060FE"/>
    <w:rsid w:val="00D11FFC"/>
    <w:rsid w:val="00D20ED6"/>
    <w:rsid w:val="00D61C9C"/>
    <w:rsid w:val="00D63751"/>
    <w:rsid w:val="00D71FD2"/>
    <w:rsid w:val="00D75ECE"/>
    <w:rsid w:val="00DA30C2"/>
    <w:rsid w:val="00DC4570"/>
    <w:rsid w:val="00E21E67"/>
    <w:rsid w:val="00E41AD8"/>
    <w:rsid w:val="00ED16DA"/>
    <w:rsid w:val="00EF0889"/>
    <w:rsid w:val="00F450E8"/>
    <w:rsid w:val="00FC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3004"/>
  <w15:chartTrackingRefBased/>
  <w15:docId w15:val="{DEB4A177-2C5A-4360-84B8-D30D2837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2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2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543"/>
    <w:rPr>
      <w:rFonts w:eastAsiaTheme="majorEastAsia" w:cstheme="majorBidi"/>
      <w:color w:val="272727" w:themeColor="text1" w:themeTint="D8"/>
    </w:rPr>
  </w:style>
  <w:style w:type="paragraph" w:styleId="Title">
    <w:name w:val="Title"/>
    <w:basedOn w:val="Normal"/>
    <w:next w:val="Normal"/>
    <w:link w:val="TitleChar"/>
    <w:uiPriority w:val="10"/>
    <w:qFormat/>
    <w:rsid w:val="00742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543"/>
    <w:pPr>
      <w:spacing w:before="160"/>
      <w:jc w:val="center"/>
    </w:pPr>
    <w:rPr>
      <w:i/>
      <w:iCs/>
      <w:color w:val="404040" w:themeColor="text1" w:themeTint="BF"/>
    </w:rPr>
  </w:style>
  <w:style w:type="character" w:customStyle="1" w:styleId="QuoteChar">
    <w:name w:val="Quote Char"/>
    <w:basedOn w:val="DefaultParagraphFont"/>
    <w:link w:val="Quote"/>
    <w:uiPriority w:val="29"/>
    <w:rsid w:val="00742543"/>
    <w:rPr>
      <w:i/>
      <w:iCs/>
      <w:color w:val="404040" w:themeColor="text1" w:themeTint="BF"/>
    </w:rPr>
  </w:style>
  <w:style w:type="paragraph" w:styleId="ListParagraph">
    <w:name w:val="List Paragraph"/>
    <w:basedOn w:val="Normal"/>
    <w:uiPriority w:val="34"/>
    <w:qFormat/>
    <w:rsid w:val="00742543"/>
    <w:pPr>
      <w:ind w:left="720"/>
      <w:contextualSpacing/>
    </w:pPr>
  </w:style>
  <w:style w:type="character" w:styleId="IntenseEmphasis">
    <w:name w:val="Intense Emphasis"/>
    <w:basedOn w:val="DefaultParagraphFont"/>
    <w:uiPriority w:val="21"/>
    <w:qFormat/>
    <w:rsid w:val="00742543"/>
    <w:rPr>
      <w:i/>
      <w:iCs/>
      <w:color w:val="0F4761" w:themeColor="accent1" w:themeShade="BF"/>
    </w:rPr>
  </w:style>
  <w:style w:type="paragraph" w:styleId="IntenseQuote">
    <w:name w:val="Intense Quote"/>
    <w:basedOn w:val="Normal"/>
    <w:next w:val="Normal"/>
    <w:link w:val="IntenseQuoteChar"/>
    <w:uiPriority w:val="30"/>
    <w:qFormat/>
    <w:rsid w:val="00742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543"/>
    <w:rPr>
      <w:i/>
      <w:iCs/>
      <w:color w:val="0F4761" w:themeColor="accent1" w:themeShade="BF"/>
    </w:rPr>
  </w:style>
  <w:style w:type="character" w:styleId="IntenseReference">
    <w:name w:val="Intense Reference"/>
    <w:basedOn w:val="DefaultParagraphFont"/>
    <w:uiPriority w:val="32"/>
    <w:qFormat/>
    <w:rsid w:val="00742543"/>
    <w:rPr>
      <w:b/>
      <w:bCs/>
      <w:smallCaps/>
      <w:color w:val="0F4761" w:themeColor="accent1" w:themeShade="BF"/>
      <w:spacing w:val="5"/>
    </w:rPr>
  </w:style>
  <w:style w:type="character" w:styleId="Hyperlink">
    <w:name w:val="Hyperlink"/>
    <w:basedOn w:val="DefaultParagraphFont"/>
    <w:uiPriority w:val="99"/>
    <w:unhideWhenUsed/>
    <w:rsid w:val="000755A2"/>
    <w:rPr>
      <w:color w:val="467886" w:themeColor="hyperlink"/>
      <w:u w:val="single"/>
    </w:rPr>
  </w:style>
  <w:style w:type="character" w:styleId="UnresolvedMention">
    <w:name w:val="Unresolved Mention"/>
    <w:basedOn w:val="DefaultParagraphFont"/>
    <w:uiPriority w:val="99"/>
    <w:semiHidden/>
    <w:unhideWhenUsed/>
    <w:rsid w:val="000755A2"/>
    <w:rPr>
      <w:color w:val="605E5C"/>
      <w:shd w:val="clear" w:color="auto" w:fill="E1DFDD"/>
    </w:rPr>
  </w:style>
  <w:style w:type="character" w:styleId="FollowedHyperlink">
    <w:name w:val="FollowedHyperlink"/>
    <w:basedOn w:val="DefaultParagraphFont"/>
    <w:uiPriority w:val="99"/>
    <w:semiHidden/>
    <w:unhideWhenUsed/>
    <w:rsid w:val="00E41A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maryland.gov/bha/Pages/BHA-Licensed-and-Certified-Providers-and-Programs.aspx" TargetMode="External"/><Relationship Id="rId13" Type="http://schemas.openxmlformats.org/officeDocument/2006/relationships/hyperlink" Target="https://www.marylandmacs.org/" TargetMode="External"/><Relationship Id="rId3" Type="http://schemas.openxmlformats.org/officeDocument/2006/relationships/settings" Target="settings.xml"/><Relationship Id="rId7" Type="http://schemas.openxmlformats.org/officeDocument/2006/relationships/hyperlink" Target="https://pmc.ncbi.nlm.nih.gov/articles/PMC4043401/" TargetMode="External"/><Relationship Id="rId12" Type="http://schemas.openxmlformats.org/officeDocument/2006/relationships/hyperlink" Target="https://jamanetwork.com/journals/jama/fullarticle/1828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tod.org/wp-content/uploads/2023/06/Comparision-Document_Methadone-and-Buprenorphine_FINAL3.2023.pdf" TargetMode="External"/><Relationship Id="rId11" Type="http://schemas.openxmlformats.org/officeDocument/2006/relationships/hyperlink" Target="https://www.accessdata.fda.gov/drugsatfda_docs/label/2016/017116s029lbl.pdf" TargetMode="External"/><Relationship Id="rId5" Type="http://schemas.openxmlformats.org/officeDocument/2006/relationships/hyperlink" Target="https://www.ncbi.nlm.nih.gov/books/NBK232108/" TargetMode="External"/><Relationship Id="rId15" Type="http://schemas.openxmlformats.org/officeDocument/2006/relationships/theme" Target="theme/theme1.xml"/><Relationship Id="rId10" Type="http://schemas.openxmlformats.org/officeDocument/2006/relationships/hyperlink" Target="https://www.cochrane.org/evidence/CD002209_methadone-maintenance-therapy-versus-no-opioid-replacement-therapy" TargetMode="External"/><Relationship Id="rId4" Type="http://schemas.openxmlformats.org/officeDocument/2006/relationships/webSettings" Target="webSettings.xml"/><Relationship Id="rId9" Type="http://schemas.openxmlformats.org/officeDocument/2006/relationships/hyperlink" Target="https://www.marylandmacs.org/media/som/microsites/macs/3-Day-Dispensing-Rul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556</Words>
  <Characters>3651</Characters>
  <Application>Microsoft Office Word</Application>
  <DocSecurity>0</DocSecurity>
  <Lines>70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Rehfield, Carson</dc:creator>
  <cp:keywords/>
  <dc:description/>
  <cp:lastModifiedBy>Rehfield, Carson</cp:lastModifiedBy>
  <cp:revision>2</cp:revision>
  <dcterms:created xsi:type="dcterms:W3CDTF">2026-04-13T17:12:00Z</dcterms:created>
  <dcterms:modified xsi:type="dcterms:W3CDTF">2026-04-13T17:12:00Z</dcterms:modified>
</cp:coreProperties>
</file>