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46997756" w14:textId="5EBC0B4D" w:rsidR="00742543" w:rsidRDefault="00212AC4" w:rsidP="009D43B2">
      <w:pPr>
        <w:pStyle w:val="Heading1"/>
        <w:rPr>
          <w:color w:val="auto"/>
        </w:rPr>
      </w:pPr>
      <w:r>
        <w:rPr>
          <w:color w:val="auto"/>
        </w:rPr>
        <w:t>Opioid Withdrawal: The Importance of Self-Reported Symptoms</w:t>
      </w:r>
    </w:p>
    <w:p w14:paraId="28AB96BD" w14:textId="792BC9FF" w:rsidR="00E41AD8" w:rsidRDefault="00212AC4" w:rsidP="00742543">
      <w:pPr>
        <w:pStyle w:val="Heading2"/>
        <w:rPr>
          <w:color w:val="auto"/>
        </w:rPr>
      </w:pPr>
      <w:r w:rsidRPr="00212AC4">
        <w:rPr>
          <w:color w:val="auto"/>
        </w:rPr>
        <w:t>Opioid Withdrawal Syndrome and Opioid Use Disorder (OUD)</w:t>
      </w:r>
    </w:p>
    <w:p w14:paraId="2DDBAAC7" w14:textId="33A46B7D" w:rsidR="00212AC4" w:rsidRDefault="00212AC4" w:rsidP="009D43B2">
      <w:pPr>
        <w:pStyle w:val="ListParagraph"/>
        <w:numPr>
          <w:ilvl w:val="0"/>
          <w:numId w:val="10"/>
        </w:numPr>
      </w:pPr>
      <w:hyperlink r:id="rId5" w:history="1">
        <w:r w:rsidRPr="00212AC4">
          <w:rPr>
            <w:rStyle w:val="Hyperlink"/>
          </w:rPr>
          <w:t>Opioid withdrawal syndrome</w:t>
        </w:r>
      </w:hyperlink>
      <w:r w:rsidRPr="00212AC4">
        <w:t xml:space="preserve"> is a collection of self-reported symptoms and observable physiological signs that develop during abstinence (e.g., mood changes, muscle and bone aches, craving, nausea, sweating).</w:t>
      </w:r>
    </w:p>
    <w:p w14:paraId="19BA3C5F" w14:textId="27B1FCCA" w:rsidR="000F0292" w:rsidRDefault="00212AC4" w:rsidP="009D43B2">
      <w:pPr>
        <w:pStyle w:val="ListParagraph"/>
        <w:numPr>
          <w:ilvl w:val="0"/>
          <w:numId w:val="10"/>
        </w:numPr>
      </w:pPr>
      <w:r w:rsidRPr="00212AC4">
        <w:t xml:space="preserve">Severity of opioid withdrawal can reduce </w:t>
      </w:r>
      <w:hyperlink r:id="rId6" w:history="1">
        <w:r w:rsidRPr="00212AC4">
          <w:rPr>
            <w:rStyle w:val="Hyperlink"/>
          </w:rPr>
          <w:t>time in treatment</w:t>
        </w:r>
      </w:hyperlink>
      <w:r w:rsidRPr="00212AC4">
        <w:t xml:space="preserve"> making its management a crucial component of OUD treatment.</w:t>
      </w:r>
    </w:p>
    <w:p w14:paraId="59EDA4B7" w14:textId="3E0B5481" w:rsidR="00764998" w:rsidRDefault="00212AC4" w:rsidP="00764998">
      <w:pPr>
        <w:pStyle w:val="Heading2"/>
        <w:rPr>
          <w:color w:val="auto"/>
        </w:rPr>
      </w:pPr>
      <w:r>
        <w:rPr>
          <w:color w:val="auto"/>
        </w:rPr>
        <w:t>Withdrawal Assessment Tools</w:t>
      </w:r>
    </w:p>
    <w:p w14:paraId="7C30D996" w14:textId="0C48A91F" w:rsidR="00212AC4" w:rsidRDefault="00212AC4" w:rsidP="00212AC4">
      <w:r w:rsidRPr="00212AC4">
        <w:t xml:space="preserve">The American Society of Addiction Medicine’s </w:t>
      </w:r>
      <w:hyperlink r:id="rId7" w:history="1">
        <w:r w:rsidRPr="00212AC4">
          <w:rPr>
            <w:rStyle w:val="Hyperlink"/>
          </w:rPr>
          <w:t>National Practice Guideline</w:t>
        </w:r>
      </w:hyperlink>
      <w:r w:rsidRPr="00212AC4">
        <w:t xml:space="preserve"> identified three assessment tools for opioid withdrawal.</w:t>
      </w:r>
    </w:p>
    <w:p w14:paraId="4B4B584E" w14:textId="20D9383E" w:rsidR="00212AC4" w:rsidRDefault="00212AC4" w:rsidP="00212AC4">
      <w:pPr>
        <w:pStyle w:val="ListParagraph"/>
        <w:numPr>
          <w:ilvl w:val="0"/>
          <w:numId w:val="11"/>
        </w:numPr>
      </w:pPr>
      <w:r w:rsidRPr="00212AC4">
        <w:t>Clinical Opiate Withdrawal Scale (</w:t>
      </w:r>
      <w:hyperlink r:id="rId8" w:history="1">
        <w:r w:rsidRPr="00212AC4">
          <w:rPr>
            <w:rStyle w:val="Hyperlink"/>
          </w:rPr>
          <w:t>COWS</w:t>
        </w:r>
      </w:hyperlink>
      <w:r w:rsidRPr="00212AC4">
        <w:t>): Observer-rated</w:t>
      </w:r>
    </w:p>
    <w:p w14:paraId="2A9CA1E4" w14:textId="343BFCFC" w:rsidR="00212AC4" w:rsidRDefault="00212AC4" w:rsidP="00212AC4">
      <w:pPr>
        <w:pStyle w:val="ListParagraph"/>
        <w:numPr>
          <w:ilvl w:val="1"/>
          <w:numId w:val="11"/>
        </w:numPr>
      </w:pPr>
      <w:r w:rsidRPr="00212AC4">
        <w:t xml:space="preserve">Developed by </w:t>
      </w:r>
      <w:hyperlink r:id="rId9" w:history="1">
        <w:r w:rsidRPr="00212AC4">
          <w:rPr>
            <w:rStyle w:val="Hyperlink"/>
          </w:rPr>
          <w:t>Wesson and Ling</w:t>
        </w:r>
      </w:hyperlink>
      <w:r w:rsidRPr="00212AC4">
        <w:t xml:space="preserve"> (2003); more common in clinical settings</w:t>
      </w:r>
    </w:p>
    <w:p w14:paraId="5256E084" w14:textId="471F4F82" w:rsidR="00791861" w:rsidRDefault="00212AC4" w:rsidP="00791861">
      <w:pPr>
        <w:pStyle w:val="ListParagraph"/>
        <w:numPr>
          <w:ilvl w:val="0"/>
          <w:numId w:val="11"/>
        </w:numPr>
      </w:pPr>
      <w:r w:rsidRPr="00212AC4">
        <w:t>Objective Opiate Withdrawal Scale (</w:t>
      </w:r>
      <w:hyperlink r:id="rId10" w:history="1">
        <w:r w:rsidRPr="00212AC4">
          <w:rPr>
            <w:rStyle w:val="Hyperlink"/>
          </w:rPr>
          <w:t>OOWS</w:t>
        </w:r>
      </w:hyperlink>
      <w:r w:rsidRPr="00212AC4">
        <w:t>): Observer-rated</w:t>
      </w:r>
    </w:p>
    <w:p w14:paraId="25A264E3" w14:textId="591FACD6" w:rsidR="00212AC4" w:rsidRDefault="00212AC4" w:rsidP="00212AC4">
      <w:pPr>
        <w:pStyle w:val="ListParagraph"/>
        <w:numPr>
          <w:ilvl w:val="1"/>
          <w:numId w:val="11"/>
        </w:numPr>
      </w:pPr>
      <w:r w:rsidRPr="00212AC4">
        <w:t>Largely replaced by the COWS in routine clinical practice</w:t>
      </w:r>
    </w:p>
    <w:p w14:paraId="5E88021A" w14:textId="027C86B7" w:rsidR="00212AC4" w:rsidRDefault="00212AC4" w:rsidP="00212AC4">
      <w:pPr>
        <w:pStyle w:val="ListParagraph"/>
        <w:numPr>
          <w:ilvl w:val="0"/>
          <w:numId w:val="11"/>
        </w:numPr>
      </w:pPr>
      <w:r w:rsidRPr="00212AC4">
        <w:t>Subjective Opiate Withdrawal Scale (</w:t>
      </w:r>
      <w:hyperlink r:id="rId11" w:history="1">
        <w:r w:rsidRPr="00212AC4">
          <w:rPr>
            <w:rStyle w:val="Hyperlink"/>
          </w:rPr>
          <w:t>SOWS</w:t>
        </w:r>
      </w:hyperlink>
      <w:r w:rsidRPr="00212AC4">
        <w:t>): Patient-rated/Self-reported</w:t>
      </w:r>
    </w:p>
    <w:p w14:paraId="48F5857A" w14:textId="1CFB708E" w:rsidR="00212AC4" w:rsidRDefault="00212AC4" w:rsidP="00212AC4">
      <w:pPr>
        <w:pStyle w:val="ListParagraph"/>
        <w:numPr>
          <w:ilvl w:val="1"/>
          <w:numId w:val="11"/>
        </w:numPr>
      </w:pPr>
      <w:r w:rsidRPr="00212AC4">
        <w:t xml:space="preserve">Developed by </w:t>
      </w:r>
      <w:hyperlink r:id="rId12" w:history="1">
        <w:r w:rsidRPr="00212AC4">
          <w:rPr>
            <w:rStyle w:val="Hyperlink"/>
          </w:rPr>
          <w:t>Handelsman et al</w:t>
        </w:r>
      </w:hyperlink>
      <w:r w:rsidRPr="00212AC4">
        <w:t>. (1987); often used in research settings</w:t>
      </w:r>
    </w:p>
    <w:p w14:paraId="6AA3B82E" w14:textId="77C2D3E2" w:rsidR="00212AC4" w:rsidRDefault="00212AC4" w:rsidP="00212AC4">
      <w:pPr>
        <w:pStyle w:val="Heading2"/>
        <w:rPr>
          <w:color w:val="auto"/>
        </w:rPr>
      </w:pPr>
      <w:r w:rsidRPr="00212AC4">
        <w:rPr>
          <w:color w:val="auto"/>
        </w:rPr>
        <w:t>Sel</w:t>
      </w:r>
      <w:r>
        <w:rPr>
          <w:color w:val="auto"/>
        </w:rPr>
        <w:t>f</w:t>
      </w:r>
      <w:r w:rsidRPr="00212AC4">
        <w:rPr>
          <w:color w:val="auto"/>
        </w:rPr>
        <w:t>-Reported Withdrawal Assessment is a</w:t>
      </w:r>
      <w:r>
        <w:rPr>
          <w:color w:val="auto"/>
        </w:rPr>
        <w:t xml:space="preserve"> </w:t>
      </w:r>
      <w:r w:rsidRPr="00212AC4">
        <w:rPr>
          <w:color w:val="auto"/>
        </w:rPr>
        <w:t>More Sensitive and Predictive Tool</w:t>
      </w:r>
    </w:p>
    <w:p w14:paraId="38C98A91" w14:textId="04B85621" w:rsidR="00212AC4" w:rsidRDefault="00212AC4" w:rsidP="00212AC4">
      <w:r w:rsidRPr="00212AC4">
        <w:t xml:space="preserve">A </w:t>
      </w:r>
      <w:hyperlink r:id="rId13" w:history="1">
        <w:r w:rsidRPr="00212AC4">
          <w:rPr>
            <w:rStyle w:val="Hyperlink"/>
          </w:rPr>
          <w:t>randomized controlled trial</w:t>
        </w:r>
      </w:hyperlink>
      <w:r w:rsidRPr="00212AC4">
        <w:t xml:space="preserve"> of 100 patients undergoing a residential 7- day study of opioid withdrawal management compared the clinical utility of the SOWS and COWS. The study found that self-reported symptoms (SOWS) were more predictive of outcomes than observer-rated (COWS).</w:t>
      </w:r>
    </w:p>
    <w:p w14:paraId="49152CBC" w14:textId="77777777" w:rsidR="00212AC4" w:rsidRDefault="00212AC4" w:rsidP="00212AC4">
      <w:pPr>
        <w:pStyle w:val="ListParagraph"/>
        <w:numPr>
          <w:ilvl w:val="0"/>
          <w:numId w:val="14"/>
        </w:numPr>
      </w:pPr>
      <w:r w:rsidRPr="00212AC4">
        <w:t>Self-reported symptoms were recorded about 4 –10 hours earlier than observed symptoms.</w:t>
      </w:r>
    </w:p>
    <w:p w14:paraId="15EECF52" w14:textId="77777777" w:rsidR="00D61C9C" w:rsidRDefault="00212AC4" w:rsidP="00212AC4">
      <w:pPr>
        <w:pStyle w:val="ListParagraph"/>
        <w:numPr>
          <w:ilvl w:val="0"/>
          <w:numId w:val="14"/>
        </w:numPr>
      </w:pPr>
      <w:r w:rsidRPr="00212AC4">
        <w:t>Patients who self-reported earlier and had higher withdrawal severity were more likely to drop out of the buprenorphine taper intervention.</w:t>
      </w:r>
    </w:p>
    <w:p w14:paraId="15320A5C" w14:textId="77777777" w:rsidR="00D61C9C" w:rsidRDefault="00212AC4" w:rsidP="00212AC4">
      <w:pPr>
        <w:pStyle w:val="ListParagraph"/>
        <w:numPr>
          <w:ilvl w:val="0"/>
          <w:numId w:val="14"/>
        </w:numPr>
      </w:pPr>
      <w:r w:rsidRPr="00212AC4">
        <w:t xml:space="preserve">Peak self-reported scores </w:t>
      </w:r>
      <w:proofErr w:type="gramStart"/>
      <w:r w:rsidRPr="00212AC4">
        <w:t>better</w:t>
      </w:r>
      <w:proofErr w:type="gramEnd"/>
      <w:r w:rsidRPr="00212AC4">
        <w:t xml:space="preserve"> predicted taper completion than peak observer-rated scores.</w:t>
      </w:r>
    </w:p>
    <w:p w14:paraId="034534AB" w14:textId="71C2F205" w:rsidR="00212AC4" w:rsidRPr="00212AC4" w:rsidRDefault="00212AC4" w:rsidP="00212AC4">
      <w:pPr>
        <w:pStyle w:val="ListParagraph"/>
        <w:numPr>
          <w:ilvl w:val="0"/>
          <w:numId w:val="14"/>
        </w:numPr>
      </w:pPr>
      <w:r w:rsidRPr="00212AC4">
        <w:lastRenderedPageBreak/>
        <w:t xml:space="preserve">These findings are confirmed by previous </w:t>
      </w:r>
      <w:hyperlink r:id="rId14" w:history="1">
        <w:r w:rsidRPr="00D61C9C">
          <w:rPr>
            <w:rStyle w:val="Hyperlink"/>
          </w:rPr>
          <w:t>research</w:t>
        </w:r>
      </w:hyperlink>
      <w:r w:rsidRPr="00212AC4">
        <w:t>.</w:t>
      </w:r>
    </w:p>
    <w:p w14:paraId="0F25F884" w14:textId="75B233C2" w:rsidR="004A180B" w:rsidRDefault="00D61C9C" w:rsidP="00212AC4">
      <w:pPr>
        <w:pStyle w:val="Heading2"/>
        <w:rPr>
          <w:color w:val="auto"/>
        </w:rPr>
      </w:pPr>
      <w:r>
        <w:rPr>
          <w:color w:val="auto"/>
        </w:rPr>
        <w:t>Take-Home Messages</w:t>
      </w:r>
    </w:p>
    <w:p w14:paraId="7DFBA6C4" w14:textId="77777777" w:rsidR="00D61C9C" w:rsidRDefault="00D61C9C" w:rsidP="004A180B">
      <w:pPr>
        <w:pStyle w:val="ListParagraph"/>
        <w:numPr>
          <w:ilvl w:val="0"/>
          <w:numId w:val="13"/>
        </w:numPr>
      </w:pPr>
      <w:r w:rsidRPr="00D61C9C">
        <w:t>Self-reported withdrawal is a critical aspect of clinical care.</w:t>
      </w:r>
    </w:p>
    <w:p w14:paraId="3ACA2F73" w14:textId="77777777" w:rsidR="00D61C9C" w:rsidRDefault="00D61C9C" w:rsidP="00D61C9C">
      <w:pPr>
        <w:pStyle w:val="ListParagraph"/>
        <w:numPr>
          <w:ilvl w:val="1"/>
          <w:numId w:val="13"/>
        </w:numPr>
      </w:pPr>
      <w:r w:rsidRPr="00D61C9C">
        <w:t>Captures early and nuanced symptoms better than observer-rated scales.</w:t>
      </w:r>
    </w:p>
    <w:p w14:paraId="78777424" w14:textId="77777777" w:rsidR="00D61C9C" w:rsidRDefault="00D61C9C" w:rsidP="00D61C9C">
      <w:pPr>
        <w:pStyle w:val="ListParagraph"/>
        <w:numPr>
          <w:ilvl w:val="1"/>
          <w:numId w:val="13"/>
        </w:numPr>
      </w:pPr>
      <w:r w:rsidRPr="00D61C9C">
        <w:t>Identifies patients at higher risk of dropping out of treatment.</w:t>
      </w:r>
    </w:p>
    <w:p w14:paraId="306FD81A" w14:textId="77777777" w:rsidR="00D61C9C" w:rsidRDefault="00D61C9C" w:rsidP="00D61C9C">
      <w:pPr>
        <w:pStyle w:val="ListParagraph"/>
        <w:numPr>
          <w:ilvl w:val="1"/>
          <w:numId w:val="13"/>
        </w:numPr>
      </w:pPr>
      <w:r w:rsidRPr="00D61C9C">
        <w:t>Provides opportunity to intervene early and prevent symptoms from escalating to observable levels</w:t>
      </w:r>
      <w:r>
        <w:t>.</w:t>
      </w:r>
    </w:p>
    <w:p w14:paraId="6C87D6AD" w14:textId="77777777" w:rsidR="00D61C9C" w:rsidRDefault="00D61C9C" w:rsidP="00D61C9C">
      <w:pPr>
        <w:pStyle w:val="ListParagraph"/>
        <w:numPr>
          <w:ilvl w:val="1"/>
          <w:numId w:val="13"/>
        </w:numPr>
      </w:pPr>
      <w:r w:rsidRPr="00D61C9C">
        <w:t>Builds trust, engagement, and patient</w:t>
      </w:r>
      <w:r w:rsidRPr="00D61C9C">
        <w:noBreakHyphen/>
        <w:t>centered care.</w:t>
      </w:r>
    </w:p>
    <w:p w14:paraId="6B487340" w14:textId="2FC9D1F1" w:rsidR="00D61C9C" w:rsidRDefault="00D61C9C" w:rsidP="00D61C9C">
      <w:pPr>
        <w:pStyle w:val="ListParagraph"/>
        <w:numPr>
          <w:ilvl w:val="1"/>
          <w:numId w:val="13"/>
        </w:numPr>
      </w:pPr>
      <w:r w:rsidRPr="00D61C9C">
        <w:t>Identifies discom</w:t>
      </w:r>
      <w:r>
        <w:t xml:space="preserve">fort </w:t>
      </w:r>
      <w:r w:rsidRPr="00D61C9C">
        <w:t>that may not be evident in observer</w:t>
      </w:r>
      <w:r w:rsidRPr="00D61C9C">
        <w:noBreakHyphen/>
        <w:t>rated assessments.</w:t>
      </w:r>
    </w:p>
    <w:p w14:paraId="48A681C6" w14:textId="6C8C0B3E" w:rsidR="004A180B" w:rsidRDefault="00D61C9C" w:rsidP="004A180B">
      <w:pPr>
        <w:pStyle w:val="ListParagraph"/>
        <w:numPr>
          <w:ilvl w:val="0"/>
          <w:numId w:val="13"/>
        </w:numPr>
      </w:pPr>
      <w:r w:rsidRPr="00D61C9C">
        <w:t>Combining patient</w:t>
      </w:r>
      <w:r w:rsidRPr="00D61C9C">
        <w:noBreakHyphen/>
        <w:t>reported and observer-rated assessments delivers the best car</w:t>
      </w:r>
      <w:r>
        <w:t>e.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5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61987">
    <w:abstractNumId w:val="13"/>
  </w:num>
  <w:num w:numId="2" w16cid:durableId="481387728">
    <w:abstractNumId w:val="8"/>
  </w:num>
  <w:num w:numId="3" w16cid:durableId="1683622399">
    <w:abstractNumId w:val="6"/>
  </w:num>
  <w:num w:numId="4" w16cid:durableId="388695365">
    <w:abstractNumId w:val="10"/>
  </w:num>
  <w:num w:numId="5" w16cid:durableId="516386396">
    <w:abstractNumId w:val="0"/>
  </w:num>
  <w:num w:numId="6" w16cid:durableId="669068069">
    <w:abstractNumId w:val="11"/>
  </w:num>
  <w:num w:numId="7" w16cid:durableId="2139954297">
    <w:abstractNumId w:val="2"/>
  </w:num>
  <w:num w:numId="8" w16cid:durableId="442577164">
    <w:abstractNumId w:val="9"/>
  </w:num>
  <w:num w:numId="9" w16cid:durableId="1344672803">
    <w:abstractNumId w:val="5"/>
  </w:num>
  <w:num w:numId="10" w16cid:durableId="1418868512">
    <w:abstractNumId w:val="1"/>
  </w:num>
  <w:num w:numId="11" w16cid:durableId="651368239">
    <w:abstractNumId w:val="4"/>
  </w:num>
  <w:num w:numId="12" w16cid:durableId="1922980085">
    <w:abstractNumId w:val="12"/>
  </w:num>
  <w:num w:numId="13" w16cid:durableId="722102068">
    <w:abstractNumId w:val="3"/>
  </w:num>
  <w:num w:numId="14" w16cid:durableId="1126242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093A5D"/>
    <w:rsid w:val="000F0292"/>
    <w:rsid w:val="00144E8D"/>
    <w:rsid w:val="00212AC4"/>
    <w:rsid w:val="002533E2"/>
    <w:rsid w:val="002B0C9F"/>
    <w:rsid w:val="00357E8F"/>
    <w:rsid w:val="003D35D3"/>
    <w:rsid w:val="00472650"/>
    <w:rsid w:val="00484DE6"/>
    <w:rsid w:val="004A180B"/>
    <w:rsid w:val="004F0FF6"/>
    <w:rsid w:val="005139C4"/>
    <w:rsid w:val="00591982"/>
    <w:rsid w:val="005E0BAB"/>
    <w:rsid w:val="006E138C"/>
    <w:rsid w:val="00742543"/>
    <w:rsid w:val="00764998"/>
    <w:rsid w:val="00791861"/>
    <w:rsid w:val="007C32CC"/>
    <w:rsid w:val="009D43B2"/>
    <w:rsid w:val="009F093A"/>
    <w:rsid w:val="009F747F"/>
    <w:rsid w:val="00AE3017"/>
    <w:rsid w:val="00D0289C"/>
    <w:rsid w:val="00D060FE"/>
    <w:rsid w:val="00D61C9C"/>
    <w:rsid w:val="00D63751"/>
    <w:rsid w:val="00DA30C2"/>
    <w:rsid w:val="00E21E67"/>
    <w:rsid w:val="00E41AD8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da.nih.gov/sites/default/files/ClinicalOpiateWithdrawalScale.pdf" TargetMode="External"/><Relationship Id="rId13" Type="http://schemas.openxmlformats.org/officeDocument/2006/relationships/hyperlink" Target="https://pubmed.ncbi.nlm.nih.gov/327813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am.org/docs/default-source/practice-support/guidelines-and-consensus-docs/asam-national-practice-guideline-slide-deck-speaker-notes.pdf" TargetMode="External"/><Relationship Id="rId12" Type="http://schemas.openxmlformats.org/officeDocument/2006/relationships/hyperlink" Target="https://pubmed.ncbi.nlm.nih.gov/368789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0295400/" TargetMode="External"/><Relationship Id="rId11" Type="http://schemas.openxmlformats.org/officeDocument/2006/relationships/hyperlink" Target="https://nam11.safelinks.protection.outlook.com/?url=https%3A%2F%2Fwww.asam.org%2Fdocs%2Fdefault-source%2Feducation-docs%2Fsows_8-28-2017.pdf&amp;data=05%7C02%7CBKleykamp%40som.umaryland.edu%7C6c837eb5102a498fd3b008dda8fd7c8f%7C717009a620de461a88940312a395cac9%7C0%7C0%7C638852530497948999%7CUnknown%7CTWFpbGZsb3d8eyJFbXB0eU1hcGkiOnRydWUsIlYiOiIwLjAuMDAwMCIsIlAiOiJXaW4zMiIsIkFOIjoiTWFpbCIsIldUIjoyfQ%3D%3D%7C0%7C%7C%7C&amp;sdata=4La9ypRxGoSaP%2BK%2BbPcXmHzYh11wbDt%2Bsh2%2F%2BySq5Jo%3D&amp;reserved=0" TargetMode="External"/><Relationship Id="rId5" Type="http://schemas.openxmlformats.org/officeDocument/2006/relationships/hyperlink" Target="https://pure.johnshopkins.edu/en/publications/the-opioid-withdrawal-syndrome-presentation-measurement-and-manag" TargetMode="External"/><Relationship Id="rId15" Type="http://schemas.openxmlformats.org/officeDocument/2006/relationships/hyperlink" Target="https://www.marylandmacs.org/" TargetMode="External"/><Relationship Id="rId10" Type="http://schemas.openxmlformats.org/officeDocument/2006/relationships/hyperlink" Target="https://www.ncbi.nlm.nih.gov/books/NBK1431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12924748/" TargetMode="External"/><Relationship Id="rId14" Type="http://schemas.openxmlformats.org/officeDocument/2006/relationships/hyperlink" Target="https://pubmed.ncbi.nlm.nih.gov/39044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3079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2026-04-06T16:01:00Z</dcterms:created>
  <dcterms:modified xsi:type="dcterms:W3CDTF">2026-04-06T16:01:00Z</dcterms:modified>
</cp:coreProperties>
</file>