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01503" w14:textId="304D3258" w:rsidR="00D0289C" w:rsidRDefault="00742543" w:rsidP="00742543">
      <w:pPr>
        <w:pStyle w:val="Title"/>
        <w:jc w:val="center"/>
      </w:pPr>
      <w:r w:rsidRPr="00742543">
        <w:t>MACS Fact Sheet</w:t>
      </w:r>
    </w:p>
    <w:p w14:paraId="46997756" w14:textId="583D2983" w:rsidR="00742543" w:rsidRDefault="00F56047" w:rsidP="00F56047">
      <w:pPr>
        <w:pStyle w:val="Heading1"/>
        <w:rPr>
          <w:color w:val="auto"/>
        </w:rPr>
      </w:pPr>
      <w:r w:rsidRPr="00F56047">
        <w:rPr>
          <w:color w:val="auto"/>
        </w:rPr>
        <w:t xml:space="preserve">Perioperative Pain Management </w:t>
      </w:r>
      <w:r w:rsidR="006C52DF">
        <w:rPr>
          <w:color w:val="auto"/>
        </w:rPr>
        <w:t>in</w:t>
      </w:r>
      <w:r w:rsidRPr="00F56047">
        <w:rPr>
          <w:color w:val="auto"/>
        </w:rPr>
        <w:t xml:space="preserve"> Patients Taking</w:t>
      </w:r>
      <w:r>
        <w:rPr>
          <w:color w:val="auto"/>
        </w:rPr>
        <w:t xml:space="preserve"> </w:t>
      </w:r>
      <w:r w:rsidRPr="00F56047">
        <w:rPr>
          <w:color w:val="auto"/>
        </w:rPr>
        <w:t>Buprenorphine for Opioid Use Disorder</w:t>
      </w:r>
    </w:p>
    <w:p w14:paraId="28AB96BD" w14:textId="0AF78692" w:rsidR="00E41AD8" w:rsidRDefault="00F56047" w:rsidP="00742543">
      <w:pPr>
        <w:pStyle w:val="Heading2"/>
        <w:rPr>
          <w:color w:val="auto"/>
        </w:rPr>
      </w:pPr>
      <w:r>
        <w:rPr>
          <w:color w:val="auto"/>
        </w:rPr>
        <w:t>Background</w:t>
      </w:r>
    </w:p>
    <w:p w14:paraId="6F9A3AA1" w14:textId="212BF9D7" w:rsidR="00F56047" w:rsidRPr="00F56047" w:rsidRDefault="00F56047" w:rsidP="00F56047">
      <w:pPr>
        <w:pStyle w:val="ListParagraph"/>
        <w:numPr>
          <w:ilvl w:val="0"/>
          <w:numId w:val="22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 xml:space="preserve">Pain is commonly reported among those in treatment for substance use disorders (SUD). In one </w:t>
      </w:r>
      <w:hyperlink r:id="rId5" w:history="1">
        <w:r w:rsidRPr="00F56047">
          <w:rPr>
            <w:rStyle w:val="Hyperlink"/>
            <w:rFonts w:cs="Arial"/>
          </w:rPr>
          <w:t>study</w:t>
        </w:r>
      </w:hyperlink>
      <w:r w:rsidRPr="00F56047">
        <w:rPr>
          <w:rFonts w:cs="Arial"/>
        </w:rPr>
        <w:t>, 23% of single-substance users and 39% of polysubstance users reported current ongoing pain, which is greater than that observed for non-substance users (19%).</w:t>
      </w:r>
    </w:p>
    <w:p w14:paraId="0AC815EC" w14:textId="77777777" w:rsidR="00F56047" w:rsidRPr="00F56047" w:rsidRDefault="00F56047" w:rsidP="00F56047">
      <w:pPr>
        <w:pStyle w:val="ListParagraph"/>
        <w:numPr>
          <w:ilvl w:val="0"/>
          <w:numId w:val="22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>Chronic pain often predates OUD, but the relationship is complex and bidirectional.</w:t>
      </w:r>
    </w:p>
    <w:p w14:paraId="538E8EC9" w14:textId="2F1C7410" w:rsidR="004C6D39" w:rsidRPr="00F56047" w:rsidRDefault="00F56047" w:rsidP="00F56047">
      <w:pPr>
        <w:pStyle w:val="ListParagraph"/>
        <w:numPr>
          <w:ilvl w:val="0"/>
          <w:numId w:val="22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 xml:space="preserve">More than </w:t>
      </w:r>
      <w:hyperlink r:id="rId6" w:history="1">
        <w:r w:rsidRPr="00F56047">
          <w:rPr>
            <w:rStyle w:val="Hyperlink"/>
            <w:rFonts w:cs="Arial"/>
          </w:rPr>
          <w:t>300 million surgical procedures</w:t>
        </w:r>
      </w:hyperlink>
      <w:r w:rsidRPr="00F56047">
        <w:rPr>
          <w:rFonts w:cs="Arial"/>
        </w:rPr>
        <w:t xml:space="preserve"> are performed worldwide each year, making perioperative pain management a common clinical challenge. </w:t>
      </w:r>
      <w:hyperlink r:id="rId7" w:history="1">
        <w:r w:rsidRPr="00F56047">
          <w:rPr>
            <w:rStyle w:val="Hyperlink"/>
            <w:rFonts w:cs="Arial"/>
          </w:rPr>
          <w:t>Patients with OUD</w:t>
        </w:r>
      </w:hyperlink>
      <w:r w:rsidRPr="00F56047">
        <w:rPr>
          <w:rFonts w:cs="Arial"/>
        </w:rPr>
        <w:t xml:space="preserve"> represent a growing proportion of the surgical population.</w:t>
      </w:r>
    </w:p>
    <w:p w14:paraId="2109D466" w14:textId="1710EEC3" w:rsidR="005B3E33" w:rsidRPr="00F56047" w:rsidRDefault="00F56047" w:rsidP="00F56047">
      <w:pPr>
        <w:pStyle w:val="Heading2"/>
        <w:rPr>
          <w:rFonts w:asciiTheme="minorHAnsi" w:hAnsiTheme="minorHAnsi"/>
          <w:color w:val="auto"/>
        </w:rPr>
      </w:pPr>
      <w:r w:rsidRPr="00F56047">
        <w:rPr>
          <w:rFonts w:asciiTheme="minorHAnsi" w:hAnsiTheme="minorHAnsi"/>
          <w:color w:val="auto"/>
        </w:rPr>
        <w:t>Defining Pain</w:t>
      </w:r>
    </w:p>
    <w:p w14:paraId="60433CE8" w14:textId="77777777" w:rsidR="00F56047" w:rsidRPr="00F56047" w:rsidRDefault="00F56047" w:rsidP="00F56047">
      <w:pPr>
        <w:pStyle w:val="ListParagraph"/>
        <w:numPr>
          <w:ilvl w:val="0"/>
          <w:numId w:val="23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>Pain is an unpleasant sensory and emotional experience associated with, or resembling that associated with, actual or potential tissue damage. Pain is always a personal experience.</w:t>
      </w:r>
    </w:p>
    <w:p w14:paraId="0E848865" w14:textId="77777777" w:rsidR="00F56047" w:rsidRPr="00F56047" w:rsidRDefault="00F56047" w:rsidP="00F56047">
      <w:pPr>
        <w:pStyle w:val="ListParagraph"/>
        <w:numPr>
          <w:ilvl w:val="0"/>
          <w:numId w:val="22"/>
        </w:numPr>
        <w:spacing w:after="200" w:line="276" w:lineRule="auto"/>
        <w:rPr>
          <w:rFonts w:cs="Arial"/>
        </w:rPr>
      </w:pPr>
      <w:hyperlink r:id="rId8" w:history="1">
        <w:r w:rsidRPr="00F56047">
          <w:rPr>
            <w:rStyle w:val="Hyperlink"/>
            <w:rFonts w:cs="Arial"/>
          </w:rPr>
          <w:t>Chronic pain</w:t>
        </w:r>
      </w:hyperlink>
      <w:r w:rsidRPr="00F56047">
        <w:rPr>
          <w:rFonts w:cs="Arial"/>
        </w:rPr>
        <w:t xml:space="preserve"> is characterized by persistent pain lasting more than 3 to 6 months. Chronic pain is associated with greater </w:t>
      </w:r>
      <w:hyperlink r:id="rId9" w:history="1">
        <w:r w:rsidRPr="00F56047">
          <w:rPr>
            <w:rStyle w:val="Hyperlink"/>
            <w:rFonts w:cs="Arial"/>
          </w:rPr>
          <w:t>disability</w:t>
        </w:r>
      </w:hyperlink>
      <w:r w:rsidRPr="00F56047">
        <w:rPr>
          <w:rFonts w:cs="Arial"/>
        </w:rPr>
        <w:t xml:space="preserve">, </w:t>
      </w:r>
      <w:hyperlink r:id="rId10" w:history="1">
        <w:r w:rsidRPr="00F56047">
          <w:rPr>
            <w:rStyle w:val="Hyperlink"/>
            <w:rFonts w:cs="Arial"/>
          </w:rPr>
          <w:t>sleep disturbance</w:t>
        </w:r>
      </w:hyperlink>
      <w:r w:rsidRPr="00F56047">
        <w:rPr>
          <w:rFonts w:cs="Arial"/>
        </w:rPr>
        <w:t xml:space="preserve">, and </w:t>
      </w:r>
      <w:hyperlink r:id="rId11" w:history="1">
        <w:r w:rsidRPr="00F56047">
          <w:rPr>
            <w:rStyle w:val="Hyperlink"/>
            <w:rFonts w:cs="Arial"/>
          </w:rPr>
          <w:t>anxiety</w:t>
        </w:r>
      </w:hyperlink>
      <w:r w:rsidRPr="00F56047">
        <w:rPr>
          <w:rFonts w:cs="Arial"/>
        </w:rPr>
        <w:t>.</w:t>
      </w:r>
    </w:p>
    <w:p w14:paraId="603D6E89" w14:textId="11E0F038" w:rsidR="004C6D39" w:rsidRPr="00F56047" w:rsidRDefault="00F56047" w:rsidP="00F56047">
      <w:pPr>
        <w:pStyle w:val="ListParagraph"/>
        <w:numPr>
          <w:ilvl w:val="0"/>
          <w:numId w:val="22"/>
        </w:numPr>
        <w:spacing w:after="200" w:line="276" w:lineRule="auto"/>
        <w:rPr>
          <w:rFonts w:cs="Arial"/>
        </w:rPr>
      </w:pPr>
      <w:hyperlink r:id="rId12" w:history="1">
        <w:r w:rsidRPr="00F56047">
          <w:rPr>
            <w:rStyle w:val="Hyperlink"/>
            <w:rFonts w:cs="Arial"/>
          </w:rPr>
          <w:t>Perioperative pain</w:t>
        </w:r>
      </w:hyperlink>
      <w:r w:rsidRPr="00F56047">
        <w:rPr>
          <w:rFonts w:cs="Arial"/>
        </w:rPr>
        <w:t xml:space="preserve"> refers to pain experienced before, during, and after a surgical procedure. It includes pain directly related to the surgery as well as pain associated with anesthesia, tissue injury, inflammation, and the recovery process.</w:t>
      </w:r>
    </w:p>
    <w:p w14:paraId="0F25F884" w14:textId="48A3D2AD" w:rsidR="004A180B" w:rsidRPr="00F56047" w:rsidRDefault="00F56047" w:rsidP="00212AC4">
      <w:pPr>
        <w:pStyle w:val="Heading2"/>
        <w:rPr>
          <w:rFonts w:asciiTheme="minorHAnsi" w:hAnsiTheme="minorHAnsi"/>
          <w:color w:val="auto"/>
        </w:rPr>
      </w:pPr>
      <w:r w:rsidRPr="00F56047">
        <w:rPr>
          <w:rFonts w:asciiTheme="minorHAnsi" w:hAnsiTheme="minorHAnsi"/>
          <w:color w:val="auto"/>
        </w:rPr>
        <w:t>Types of Pain</w:t>
      </w:r>
    </w:p>
    <w:p w14:paraId="13B948D9" w14:textId="2FC5E049" w:rsidR="00F56047" w:rsidRPr="00F56047" w:rsidRDefault="00F56047" w:rsidP="00F56047">
      <w:pPr>
        <w:pStyle w:val="ListParagraph"/>
        <w:numPr>
          <w:ilvl w:val="0"/>
          <w:numId w:val="20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>Nociceptive/</w:t>
      </w:r>
      <w:r>
        <w:rPr>
          <w:rFonts w:cs="Arial"/>
        </w:rPr>
        <w:t>i</w:t>
      </w:r>
      <w:r w:rsidRPr="00F56047">
        <w:rPr>
          <w:rFonts w:cs="Arial"/>
        </w:rPr>
        <w:t>nflammatory: injury or inflammation (e.g., post-operative pain)</w:t>
      </w:r>
    </w:p>
    <w:p w14:paraId="462C5CB6" w14:textId="77777777" w:rsidR="00F56047" w:rsidRPr="00F56047" w:rsidRDefault="00F56047" w:rsidP="00F56047">
      <w:pPr>
        <w:pStyle w:val="ListParagraph"/>
        <w:numPr>
          <w:ilvl w:val="0"/>
          <w:numId w:val="20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>Neuropathic: neural damage, pinching, irritation (e.g., shingles)</w:t>
      </w:r>
    </w:p>
    <w:p w14:paraId="3962C604" w14:textId="44111E27" w:rsidR="001F1741" w:rsidRPr="00F56047" w:rsidRDefault="00F56047" w:rsidP="00F56047">
      <w:pPr>
        <w:pStyle w:val="ListParagraph"/>
        <w:numPr>
          <w:ilvl w:val="0"/>
          <w:numId w:val="20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>Central Sensitization/</w:t>
      </w:r>
      <w:r>
        <w:rPr>
          <w:rFonts w:cs="Arial"/>
        </w:rPr>
        <w:t>n</w:t>
      </w:r>
      <w:r w:rsidRPr="00F56047">
        <w:rPr>
          <w:rFonts w:cs="Arial"/>
        </w:rPr>
        <w:t>ociplastic: central nervous system dysfunction (e.g., fibromyalgia)</w:t>
      </w:r>
    </w:p>
    <w:p w14:paraId="1912FE9E" w14:textId="59D22321" w:rsidR="002F1546" w:rsidRPr="00F56047" w:rsidRDefault="00F56047" w:rsidP="002F1546">
      <w:pPr>
        <w:pStyle w:val="Heading2"/>
        <w:rPr>
          <w:rFonts w:asciiTheme="minorHAnsi" w:hAnsiTheme="minorHAnsi"/>
          <w:color w:val="auto"/>
        </w:rPr>
      </w:pPr>
      <w:r w:rsidRPr="00F56047">
        <w:rPr>
          <w:rFonts w:asciiTheme="minorHAnsi" w:hAnsiTheme="minorHAnsi"/>
          <w:color w:val="auto"/>
        </w:rPr>
        <w:t>General Pain Managemen</w:t>
      </w:r>
      <w:r w:rsidR="001F1741" w:rsidRPr="00F56047">
        <w:rPr>
          <w:rFonts w:asciiTheme="minorHAnsi" w:hAnsiTheme="minorHAnsi"/>
          <w:color w:val="auto"/>
        </w:rPr>
        <w:t>t</w:t>
      </w:r>
    </w:p>
    <w:p w14:paraId="3FA7108B" w14:textId="30FDB7B3" w:rsidR="00A31EB0" w:rsidRPr="00F56047" w:rsidRDefault="00F56047" w:rsidP="00F56047">
      <w:pPr>
        <w:pStyle w:val="ListParagraph"/>
        <w:numPr>
          <w:ilvl w:val="0"/>
          <w:numId w:val="16"/>
        </w:numPr>
      </w:pPr>
      <w:r w:rsidRPr="00F56047">
        <w:t>Pain Is Real and Should Be Treated</w:t>
      </w:r>
    </w:p>
    <w:p w14:paraId="7D96A522" w14:textId="77777777" w:rsidR="00F56047" w:rsidRPr="00F56047" w:rsidRDefault="00F56047" w:rsidP="00F56047">
      <w:pPr>
        <w:pStyle w:val="ListParagraph"/>
        <w:numPr>
          <w:ilvl w:val="1"/>
          <w:numId w:val="16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 xml:space="preserve">People with SUD are at high risk for </w:t>
      </w:r>
      <w:hyperlink r:id="rId13" w:history="1">
        <w:r w:rsidRPr="00F56047">
          <w:rPr>
            <w:rStyle w:val="Hyperlink"/>
            <w:rFonts w:cs="Arial"/>
          </w:rPr>
          <w:t>undertreatment</w:t>
        </w:r>
      </w:hyperlink>
      <w:r w:rsidRPr="00F56047">
        <w:rPr>
          <w:rFonts w:cs="Arial"/>
        </w:rPr>
        <w:t xml:space="preserve"> of pain due to stigma, clinician concerns, and limited access to care.</w:t>
      </w:r>
    </w:p>
    <w:p w14:paraId="61FA4FA4" w14:textId="557C8850" w:rsidR="00F56047" w:rsidRPr="00F56047" w:rsidRDefault="00F56047" w:rsidP="00F56047">
      <w:pPr>
        <w:pStyle w:val="ListParagraph"/>
        <w:numPr>
          <w:ilvl w:val="1"/>
          <w:numId w:val="16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lastRenderedPageBreak/>
        <w:t>Untreated acute pain, including pain related to surgery, can lead to chronic pain, impaired functioning, and increased risk of relapse.</w:t>
      </w:r>
    </w:p>
    <w:p w14:paraId="2B6CC6FA" w14:textId="38089936" w:rsidR="00F56047" w:rsidRPr="00F56047" w:rsidRDefault="00F56047" w:rsidP="00F56047">
      <w:pPr>
        <w:pStyle w:val="ListParagraph"/>
        <w:numPr>
          <w:ilvl w:val="0"/>
          <w:numId w:val="16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>Use a Multimodal Approach</w:t>
      </w:r>
    </w:p>
    <w:p w14:paraId="4DFFE109" w14:textId="59D7B7A8" w:rsidR="00F56047" w:rsidRPr="00F56047" w:rsidRDefault="00F56047" w:rsidP="00F56047">
      <w:pPr>
        <w:pStyle w:val="ListParagraph"/>
        <w:numPr>
          <w:ilvl w:val="1"/>
          <w:numId w:val="16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 xml:space="preserve">Non-opioid </w:t>
      </w:r>
      <w:r>
        <w:rPr>
          <w:rFonts w:cs="Arial"/>
        </w:rPr>
        <w:t>m</w:t>
      </w:r>
      <w:r w:rsidRPr="00F56047">
        <w:rPr>
          <w:rFonts w:cs="Arial"/>
        </w:rPr>
        <w:t>edications: acetaminophen, NSAIDs, topical analgesics, selected antidepressants, anticonvulsants, and muscle relaxants.</w:t>
      </w:r>
    </w:p>
    <w:p w14:paraId="6C68EA1D" w14:textId="718A431F" w:rsidR="00F56047" w:rsidRPr="00F56047" w:rsidRDefault="00F56047" w:rsidP="00F56047">
      <w:pPr>
        <w:pStyle w:val="ListParagraph"/>
        <w:numPr>
          <w:ilvl w:val="1"/>
          <w:numId w:val="16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 xml:space="preserve">Non-pharmacologic </w:t>
      </w:r>
      <w:r>
        <w:rPr>
          <w:rFonts w:cs="Arial"/>
        </w:rPr>
        <w:t>a</w:t>
      </w:r>
      <w:r w:rsidRPr="00F56047">
        <w:rPr>
          <w:rFonts w:cs="Arial"/>
        </w:rPr>
        <w:t>pproaches: physical therapy, exercise, heat/ice, massage, acupuncture, CBT, ACT, and pain education.</w:t>
      </w:r>
    </w:p>
    <w:p w14:paraId="0AC518BC" w14:textId="25921843" w:rsidR="00F56047" w:rsidRPr="00F56047" w:rsidRDefault="00F56047" w:rsidP="00F56047">
      <w:pPr>
        <w:pStyle w:val="ListParagraph"/>
        <w:numPr>
          <w:ilvl w:val="0"/>
          <w:numId w:val="16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>Match Treatment to Pain Severity and Type of Pain</w:t>
      </w:r>
    </w:p>
    <w:p w14:paraId="065BAF43" w14:textId="77777777" w:rsidR="00F56047" w:rsidRPr="00F56047" w:rsidRDefault="00F56047" w:rsidP="00F56047">
      <w:pPr>
        <w:pStyle w:val="ListParagraph"/>
        <w:numPr>
          <w:ilvl w:val="1"/>
          <w:numId w:val="16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>Severity</w:t>
      </w:r>
    </w:p>
    <w:p w14:paraId="01478E9C" w14:textId="77777777" w:rsidR="00F56047" w:rsidRPr="00F56047" w:rsidRDefault="00F56047" w:rsidP="00F56047">
      <w:pPr>
        <w:pStyle w:val="ListParagraph"/>
        <w:numPr>
          <w:ilvl w:val="2"/>
          <w:numId w:val="16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>Mild pain: generally managed without opioids.</w:t>
      </w:r>
    </w:p>
    <w:p w14:paraId="0518C8C1" w14:textId="77777777" w:rsidR="00F56047" w:rsidRPr="00F56047" w:rsidRDefault="00F56047" w:rsidP="00F56047">
      <w:pPr>
        <w:pStyle w:val="ListParagraph"/>
        <w:numPr>
          <w:ilvl w:val="2"/>
          <w:numId w:val="16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>Moderate pain: opioids rarely needed and only short term.</w:t>
      </w:r>
    </w:p>
    <w:p w14:paraId="0FEADA6F" w14:textId="6C3FAB5B" w:rsidR="00F56047" w:rsidRPr="00F56047" w:rsidRDefault="00F56047" w:rsidP="00F56047">
      <w:pPr>
        <w:pStyle w:val="ListParagraph"/>
        <w:numPr>
          <w:ilvl w:val="2"/>
          <w:numId w:val="16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>Severe pain: opioids may be appropriate short term while maximizing non-opioid therapies.</w:t>
      </w:r>
    </w:p>
    <w:p w14:paraId="77BD2980" w14:textId="206F51C3" w:rsidR="00F56047" w:rsidRPr="00F56047" w:rsidRDefault="00F56047" w:rsidP="00F56047">
      <w:pPr>
        <w:pStyle w:val="ListParagraph"/>
        <w:numPr>
          <w:ilvl w:val="1"/>
          <w:numId w:val="16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>Type</w:t>
      </w:r>
    </w:p>
    <w:p w14:paraId="47EE25D4" w14:textId="1662EEBB" w:rsidR="00F56047" w:rsidRDefault="00F56047" w:rsidP="00F56047">
      <w:pPr>
        <w:pStyle w:val="ListParagraph"/>
        <w:numPr>
          <w:ilvl w:val="2"/>
          <w:numId w:val="16"/>
        </w:numPr>
        <w:rPr>
          <w:rFonts w:cs="Arial"/>
        </w:rPr>
      </w:pPr>
      <w:r w:rsidRPr="00F56047">
        <w:rPr>
          <w:rFonts w:cs="Arial"/>
        </w:rPr>
        <w:t>Pharmacological treatments should differ by pain type. For example, opioids are used primarily for nociceptive pain, while they are not first-line treatments for neuropathic pain and are not recommended for central sensitization/nociplastic pain.</w:t>
      </w:r>
    </w:p>
    <w:p w14:paraId="0C782F32" w14:textId="1C92AD57" w:rsidR="00F56047" w:rsidRPr="00F56047" w:rsidRDefault="00F56047" w:rsidP="00F56047">
      <w:pPr>
        <w:pStyle w:val="Heading2"/>
        <w:rPr>
          <w:rFonts w:asciiTheme="minorHAnsi" w:hAnsiTheme="minorHAnsi"/>
          <w:color w:val="auto"/>
        </w:rPr>
      </w:pPr>
      <w:r w:rsidRPr="00F56047">
        <w:rPr>
          <w:color w:val="auto"/>
        </w:rPr>
        <w:t xml:space="preserve">Perioperative Pain Management Specific to Patients Taking </w:t>
      </w:r>
      <w:r w:rsidRPr="00F56047">
        <w:rPr>
          <w:rFonts w:asciiTheme="minorHAnsi" w:hAnsiTheme="minorHAnsi"/>
          <w:color w:val="auto"/>
        </w:rPr>
        <w:t>Buprenorphine for OUD</w:t>
      </w:r>
    </w:p>
    <w:p w14:paraId="255D820E" w14:textId="45EA10C2" w:rsidR="00F56047" w:rsidRPr="00F56047" w:rsidRDefault="00F56047" w:rsidP="00F56047">
      <w:pPr>
        <w:pStyle w:val="ListParagraph"/>
        <w:numPr>
          <w:ilvl w:val="0"/>
          <w:numId w:val="29"/>
        </w:numPr>
        <w:rPr>
          <w:rFonts w:cs="Arial"/>
        </w:rPr>
      </w:pPr>
      <w:r w:rsidRPr="00F56047">
        <w:rPr>
          <w:rFonts w:cs="Arial"/>
        </w:rPr>
        <w:t xml:space="preserve">Many patients are asked to stop buprenorphine preoperatively or at the onset of acute pain, placing them at high risk for both relapse and a difficult transition back to buprenorphine after acute pain has resolved. To prevent these risks, we recommend the following in alignment with </w:t>
      </w:r>
      <w:hyperlink r:id="rId14" w:history="1">
        <w:r w:rsidRPr="00F56047">
          <w:rPr>
            <w:rStyle w:val="Hyperlink"/>
            <w:rFonts w:cs="Arial"/>
          </w:rPr>
          <w:t>existing evidence-based recommendations</w:t>
        </w:r>
      </w:hyperlink>
      <w:r w:rsidRPr="00F56047">
        <w:rPr>
          <w:rFonts w:cs="Arial"/>
        </w:rPr>
        <w:t>:</w:t>
      </w:r>
    </w:p>
    <w:p w14:paraId="115D972C" w14:textId="77777777" w:rsidR="00F56047" w:rsidRPr="00F56047" w:rsidRDefault="00F56047" w:rsidP="00F56047">
      <w:pPr>
        <w:pStyle w:val="ListParagraph"/>
        <w:numPr>
          <w:ilvl w:val="1"/>
          <w:numId w:val="29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 xml:space="preserve">Continue buprenorphine in the perioperative or acute pain period for patients with OUD. </w:t>
      </w:r>
    </w:p>
    <w:p w14:paraId="4E7D2243" w14:textId="77777777" w:rsidR="00F56047" w:rsidRPr="00F56047" w:rsidRDefault="00F56047" w:rsidP="00F56047">
      <w:pPr>
        <w:pStyle w:val="ListParagraph"/>
        <w:numPr>
          <w:ilvl w:val="1"/>
          <w:numId w:val="29"/>
        </w:numPr>
        <w:spacing w:after="200" w:line="276" w:lineRule="auto"/>
        <w:rPr>
          <w:rFonts w:cs="Arial"/>
          <w:color w:val="000000" w:themeColor="text1"/>
        </w:rPr>
      </w:pPr>
      <w:r w:rsidRPr="00F56047">
        <w:rPr>
          <w:rFonts w:cs="Arial"/>
          <w:color w:val="000000" w:themeColor="text1"/>
        </w:rPr>
        <w:t>For improved analgesia, consider dividing the patient’s usual total daily buprenorphine dose into three or four doses per day during the acute pain period.</w:t>
      </w:r>
    </w:p>
    <w:p w14:paraId="319855C8" w14:textId="77777777" w:rsidR="00F56047" w:rsidRPr="00F56047" w:rsidRDefault="00F56047" w:rsidP="00F56047">
      <w:pPr>
        <w:pStyle w:val="ListParagraph"/>
        <w:numPr>
          <w:ilvl w:val="1"/>
          <w:numId w:val="29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>Use a multi-modal analgesic approach (see above)</w:t>
      </w:r>
    </w:p>
    <w:p w14:paraId="3C1FB3A5" w14:textId="77777777" w:rsidR="00F56047" w:rsidRPr="00F56047" w:rsidRDefault="00F56047" w:rsidP="00F56047">
      <w:pPr>
        <w:pStyle w:val="ListParagraph"/>
        <w:numPr>
          <w:ilvl w:val="1"/>
          <w:numId w:val="29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>Pay attention to care coordination and discharge planning when making an analgesic plan for patients with OUD treated with buprenorphine</w:t>
      </w:r>
    </w:p>
    <w:p w14:paraId="1BC6290F" w14:textId="7CBE0C4B" w:rsidR="00F56047" w:rsidRDefault="00F56047" w:rsidP="00F56047">
      <w:pPr>
        <w:pStyle w:val="ListParagraph"/>
        <w:numPr>
          <w:ilvl w:val="1"/>
          <w:numId w:val="29"/>
        </w:numPr>
        <w:spacing w:after="200" w:line="276" w:lineRule="auto"/>
        <w:rPr>
          <w:rFonts w:cs="Arial"/>
        </w:rPr>
      </w:pPr>
      <w:r w:rsidRPr="00F56047">
        <w:rPr>
          <w:rFonts w:cs="Arial"/>
        </w:rPr>
        <w:t>Use an individualized approach founded upon shared decision-making.</w:t>
      </w:r>
    </w:p>
    <w:p w14:paraId="4163B336" w14:textId="7AA8BAFD" w:rsidR="00F56047" w:rsidRPr="00372E5E" w:rsidRDefault="00F56047" w:rsidP="00F56047">
      <w:pPr>
        <w:pStyle w:val="Heading2"/>
        <w:rPr>
          <w:rFonts w:asciiTheme="minorHAnsi" w:hAnsiTheme="minorHAnsi"/>
          <w:color w:val="auto"/>
        </w:rPr>
      </w:pPr>
      <w:r w:rsidRPr="00372E5E">
        <w:rPr>
          <w:rFonts w:asciiTheme="minorHAnsi" w:hAnsiTheme="minorHAnsi"/>
          <w:color w:val="auto"/>
        </w:rPr>
        <w:lastRenderedPageBreak/>
        <w:t>Frequently Asked Questions and Answers</w:t>
      </w:r>
    </w:p>
    <w:p w14:paraId="3098C857" w14:textId="77777777" w:rsidR="00F56047" w:rsidRPr="00372E5E" w:rsidRDefault="00F56047" w:rsidP="00F56047">
      <w:pPr>
        <w:pStyle w:val="ListParagraph"/>
        <w:numPr>
          <w:ilvl w:val="0"/>
          <w:numId w:val="29"/>
        </w:numPr>
        <w:rPr>
          <w:rFonts w:cs="Arial"/>
        </w:rPr>
      </w:pPr>
      <w:r w:rsidRPr="00372E5E">
        <w:rPr>
          <w:rFonts w:cs="Arial"/>
          <w:b/>
          <w:bCs/>
        </w:rPr>
        <w:t>Q</w:t>
      </w:r>
      <w:r w:rsidRPr="00372E5E">
        <w:rPr>
          <w:rFonts w:cs="Arial"/>
        </w:rPr>
        <w:t>: Will giving a patient on buprenorphine a scheduled opioid cause withdrawal?</w:t>
      </w:r>
    </w:p>
    <w:p w14:paraId="704A7B42" w14:textId="77777777" w:rsidR="00F56047" w:rsidRPr="00372E5E" w:rsidRDefault="00F56047" w:rsidP="00372E5E">
      <w:pPr>
        <w:pStyle w:val="ListParagraph"/>
        <w:numPr>
          <w:ilvl w:val="1"/>
          <w:numId w:val="29"/>
        </w:numPr>
        <w:rPr>
          <w:rFonts w:cs="Arial"/>
        </w:rPr>
      </w:pPr>
      <w:r w:rsidRPr="00372E5E">
        <w:rPr>
          <w:rFonts w:cs="Arial"/>
          <w:b/>
          <w:bCs/>
        </w:rPr>
        <w:t>A</w:t>
      </w:r>
      <w:r w:rsidRPr="00372E5E">
        <w:rPr>
          <w:rFonts w:cs="Arial"/>
        </w:rPr>
        <w:t>: No. Buprenorphine binds the mu-opioid receptor more avidly than full agonists, so it does not precipitate withdrawal. A scheduled opioid can still relieve pain in these patients, but the effect is blunted — often requiring a higher dose or a higher-potency agent (e.g., fentanyl, hydromorphone, sometimes high-dose oxycodone).</w:t>
      </w:r>
    </w:p>
    <w:p w14:paraId="74678204" w14:textId="77777777" w:rsidR="00F56047" w:rsidRPr="00372E5E" w:rsidRDefault="00F56047" w:rsidP="00F56047">
      <w:pPr>
        <w:pStyle w:val="ListParagraph"/>
        <w:numPr>
          <w:ilvl w:val="0"/>
          <w:numId w:val="29"/>
        </w:numPr>
        <w:rPr>
          <w:rFonts w:cs="Arial"/>
        </w:rPr>
      </w:pPr>
      <w:r w:rsidRPr="00372E5E">
        <w:rPr>
          <w:rFonts w:cs="Arial"/>
          <w:b/>
          <w:bCs/>
        </w:rPr>
        <w:t>Q</w:t>
      </w:r>
      <w:r w:rsidRPr="00372E5E">
        <w:rPr>
          <w:rFonts w:cs="Arial"/>
        </w:rPr>
        <w:t>: Do patients on buprenorphine need higher opioid doses than patients not on it? </w:t>
      </w:r>
    </w:p>
    <w:p w14:paraId="41F3DB26" w14:textId="77777777" w:rsidR="00F56047" w:rsidRPr="00372E5E" w:rsidRDefault="00F56047" w:rsidP="00372E5E">
      <w:pPr>
        <w:pStyle w:val="ListParagraph"/>
        <w:numPr>
          <w:ilvl w:val="1"/>
          <w:numId w:val="29"/>
        </w:numPr>
        <w:rPr>
          <w:rFonts w:cs="Arial"/>
        </w:rPr>
      </w:pPr>
      <w:r w:rsidRPr="00372E5E">
        <w:rPr>
          <w:rFonts w:cs="Arial"/>
          <w:b/>
          <w:bCs/>
        </w:rPr>
        <w:t>A</w:t>
      </w:r>
      <w:r w:rsidRPr="00372E5E">
        <w:rPr>
          <w:rFonts w:cs="Arial"/>
        </w:rPr>
        <w:t>: Usually, yes. Some patients are also hesitant to take an opioid at all; a supportive first step is managing pain with a temporarily increased buprenorphine dose (e.g., an additional 8 mg dosed around the time of surgery) plus NSAIDs and acetaminophen as tolerated, before adding a full-agonist opioid.</w:t>
      </w:r>
    </w:p>
    <w:p w14:paraId="432B18D8" w14:textId="77777777" w:rsidR="00F56047" w:rsidRPr="00372E5E" w:rsidRDefault="00F56047" w:rsidP="00F56047">
      <w:pPr>
        <w:pStyle w:val="ListParagraph"/>
        <w:numPr>
          <w:ilvl w:val="0"/>
          <w:numId w:val="29"/>
        </w:numPr>
        <w:rPr>
          <w:rFonts w:cs="Arial"/>
        </w:rPr>
      </w:pPr>
      <w:r w:rsidRPr="00372E5E">
        <w:rPr>
          <w:rFonts w:cs="Arial"/>
          <w:b/>
          <w:bCs/>
        </w:rPr>
        <w:t>Q</w:t>
      </w:r>
      <w:r w:rsidRPr="00372E5E">
        <w:rPr>
          <w:rFonts w:cs="Arial"/>
        </w:rPr>
        <w:t xml:space="preserve">: Can patients on buprenorphine use non-opioid strategies? </w:t>
      </w:r>
    </w:p>
    <w:p w14:paraId="1C9F952B" w14:textId="28541C17" w:rsidR="00F56047" w:rsidRPr="00372E5E" w:rsidRDefault="00F56047" w:rsidP="00372E5E">
      <w:pPr>
        <w:pStyle w:val="ListParagraph"/>
        <w:numPr>
          <w:ilvl w:val="1"/>
          <w:numId w:val="29"/>
        </w:numPr>
        <w:rPr>
          <w:rFonts w:cs="Arial"/>
        </w:rPr>
      </w:pPr>
      <w:r w:rsidRPr="00372E5E">
        <w:rPr>
          <w:rFonts w:cs="Arial"/>
          <w:b/>
          <w:bCs/>
          <w:color w:val="212121"/>
        </w:rPr>
        <w:t>A</w:t>
      </w:r>
      <w:r w:rsidRPr="00372E5E">
        <w:rPr>
          <w:rFonts w:cs="Arial"/>
          <w:color w:val="212121"/>
        </w:rPr>
        <w:t>: Yes, and in general they will benefit substantially — see the multimodal, non-opioid, and non-pharmacologic options above.</w:t>
      </w:r>
    </w:p>
    <w:p w14:paraId="10A800E4" w14:textId="2CEDE35F" w:rsidR="009B45C2" w:rsidRPr="00372E5E" w:rsidRDefault="00372E5E" w:rsidP="00F56047">
      <w:pPr>
        <w:pStyle w:val="Heading2"/>
        <w:rPr>
          <w:color w:val="auto"/>
        </w:rPr>
      </w:pPr>
      <w:r w:rsidRPr="00372E5E">
        <w:rPr>
          <w:color w:val="auto"/>
        </w:rPr>
        <w:t>For individualized consultation and educational resources, call 1-855-337-MACS (6227), email macs@som.umaryland.edu or visit www.marylandmacs.org.</w:t>
      </w:r>
    </w:p>
    <w:p w14:paraId="0485A8A7" w14:textId="638311BF" w:rsidR="007C32CC" w:rsidRPr="000755A2" w:rsidRDefault="007C32CC" w:rsidP="007C32CC">
      <w:pPr>
        <w:pStyle w:val="Heading2"/>
        <w:jc w:val="center"/>
        <w:rPr>
          <w:color w:val="auto"/>
        </w:rPr>
      </w:pPr>
      <w:r w:rsidRPr="000755A2">
        <w:rPr>
          <w:color w:val="auto"/>
        </w:rPr>
        <w:t xml:space="preserve">1-855-337-MACS (6227) | </w:t>
      </w:r>
      <w:hyperlink r:id="rId15" w:history="1">
        <w:r w:rsidRPr="000755A2">
          <w:rPr>
            <w:rStyle w:val="Hyperlink"/>
            <w:color w:val="auto"/>
          </w:rPr>
          <w:t>www.marylandmacs.org</w:t>
        </w:r>
      </w:hyperlink>
      <w:r w:rsidRPr="000755A2">
        <w:rPr>
          <w:color w:val="auto"/>
        </w:rPr>
        <w:t xml:space="preserve"> | macs@som.umaryland.edu</w:t>
      </w:r>
    </w:p>
    <w:sectPr w:rsidR="007C32CC" w:rsidRPr="000755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B8261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B2503"/>
    <w:multiLevelType w:val="hybridMultilevel"/>
    <w:tmpl w:val="D36EA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B0BB9"/>
    <w:multiLevelType w:val="hybridMultilevel"/>
    <w:tmpl w:val="C7C43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C4534"/>
    <w:multiLevelType w:val="hybridMultilevel"/>
    <w:tmpl w:val="21D8D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65129"/>
    <w:multiLevelType w:val="hybridMultilevel"/>
    <w:tmpl w:val="C82E3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17EDF"/>
    <w:multiLevelType w:val="hybridMultilevel"/>
    <w:tmpl w:val="F3C20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B38B3"/>
    <w:multiLevelType w:val="hybridMultilevel"/>
    <w:tmpl w:val="2A6AA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F1D1F"/>
    <w:multiLevelType w:val="hybridMultilevel"/>
    <w:tmpl w:val="CDCC8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11D63"/>
    <w:multiLevelType w:val="hybridMultilevel"/>
    <w:tmpl w:val="1CB23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F02CD"/>
    <w:multiLevelType w:val="hybridMultilevel"/>
    <w:tmpl w:val="39DAD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24249"/>
    <w:multiLevelType w:val="hybridMultilevel"/>
    <w:tmpl w:val="47BE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E25B4"/>
    <w:multiLevelType w:val="hybridMultilevel"/>
    <w:tmpl w:val="396EA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23F72"/>
    <w:multiLevelType w:val="hybridMultilevel"/>
    <w:tmpl w:val="6B40E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2459A"/>
    <w:multiLevelType w:val="hybridMultilevel"/>
    <w:tmpl w:val="C39CC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92CE5"/>
    <w:multiLevelType w:val="hybridMultilevel"/>
    <w:tmpl w:val="25C68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71E8B"/>
    <w:multiLevelType w:val="hybridMultilevel"/>
    <w:tmpl w:val="CDEA3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56464"/>
    <w:multiLevelType w:val="hybridMultilevel"/>
    <w:tmpl w:val="13108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80079"/>
    <w:multiLevelType w:val="hybridMultilevel"/>
    <w:tmpl w:val="BE84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C19BA"/>
    <w:multiLevelType w:val="hybridMultilevel"/>
    <w:tmpl w:val="4D24C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CF3226"/>
    <w:multiLevelType w:val="hybridMultilevel"/>
    <w:tmpl w:val="964C7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E4CC3"/>
    <w:multiLevelType w:val="hybridMultilevel"/>
    <w:tmpl w:val="14CC1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427653"/>
    <w:multiLevelType w:val="hybridMultilevel"/>
    <w:tmpl w:val="65D64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A64135"/>
    <w:multiLevelType w:val="hybridMultilevel"/>
    <w:tmpl w:val="C0447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56508D"/>
    <w:multiLevelType w:val="hybridMultilevel"/>
    <w:tmpl w:val="F2D8F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380FC3"/>
    <w:multiLevelType w:val="hybridMultilevel"/>
    <w:tmpl w:val="9E7A4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6507D1"/>
    <w:multiLevelType w:val="hybridMultilevel"/>
    <w:tmpl w:val="2C204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A5477"/>
    <w:multiLevelType w:val="hybridMultilevel"/>
    <w:tmpl w:val="3C40E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E69E0"/>
    <w:multiLevelType w:val="hybridMultilevel"/>
    <w:tmpl w:val="E9946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E345D"/>
    <w:multiLevelType w:val="hybridMultilevel"/>
    <w:tmpl w:val="419A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875B9"/>
    <w:multiLevelType w:val="hybridMultilevel"/>
    <w:tmpl w:val="1CA64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461987">
    <w:abstractNumId w:val="26"/>
  </w:num>
  <w:num w:numId="2" w16cid:durableId="481387728">
    <w:abstractNumId w:val="19"/>
  </w:num>
  <w:num w:numId="3" w16cid:durableId="1683622399">
    <w:abstractNumId w:val="11"/>
  </w:num>
  <w:num w:numId="4" w16cid:durableId="388695365">
    <w:abstractNumId w:val="23"/>
  </w:num>
  <w:num w:numId="5" w16cid:durableId="516386396">
    <w:abstractNumId w:val="3"/>
  </w:num>
  <w:num w:numId="6" w16cid:durableId="669068069">
    <w:abstractNumId w:val="24"/>
  </w:num>
  <w:num w:numId="7" w16cid:durableId="2139954297">
    <w:abstractNumId w:val="5"/>
  </w:num>
  <w:num w:numId="8" w16cid:durableId="442577164">
    <w:abstractNumId w:val="21"/>
  </w:num>
  <w:num w:numId="9" w16cid:durableId="1344672803">
    <w:abstractNumId w:val="9"/>
  </w:num>
  <w:num w:numId="10" w16cid:durableId="1418868512">
    <w:abstractNumId w:val="4"/>
  </w:num>
  <w:num w:numId="11" w16cid:durableId="651368239">
    <w:abstractNumId w:val="8"/>
  </w:num>
  <w:num w:numId="12" w16cid:durableId="1922980085">
    <w:abstractNumId w:val="25"/>
  </w:num>
  <w:num w:numId="13" w16cid:durableId="722102068">
    <w:abstractNumId w:val="6"/>
  </w:num>
  <w:num w:numId="14" w16cid:durableId="1126242287">
    <w:abstractNumId w:val="17"/>
  </w:num>
  <w:num w:numId="15" w16cid:durableId="1777821078">
    <w:abstractNumId w:val="1"/>
  </w:num>
  <w:num w:numId="16" w16cid:durableId="1401781956">
    <w:abstractNumId w:val="27"/>
  </w:num>
  <w:num w:numId="17" w16cid:durableId="2043554973">
    <w:abstractNumId w:val="10"/>
  </w:num>
  <w:num w:numId="18" w16cid:durableId="1963726018">
    <w:abstractNumId w:val="28"/>
  </w:num>
  <w:num w:numId="19" w16cid:durableId="1749108511">
    <w:abstractNumId w:val="13"/>
  </w:num>
  <w:num w:numId="20" w16cid:durableId="2093621529">
    <w:abstractNumId w:val="2"/>
  </w:num>
  <w:num w:numId="21" w16cid:durableId="14692880">
    <w:abstractNumId w:val="20"/>
  </w:num>
  <w:num w:numId="22" w16cid:durableId="553859745">
    <w:abstractNumId w:val="29"/>
  </w:num>
  <w:num w:numId="23" w16cid:durableId="1895307641">
    <w:abstractNumId w:val="22"/>
  </w:num>
  <w:num w:numId="24" w16cid:durableId="1181090546">
    <w:abstractNumId w:val="12"/>
  </w:num>
  <w:num w:numId="25" w16cid:durableId="2129272225">
    <w:abstractNumId w:val="18"/>
  </w:num>
  <w:num w:numId="26" w16cid:durableId="787047972">
    <w:abstractNumId w:val="14"/>
  </w:num>
  <w:num w:numId="27" w16cid:durableId="1063941400">
    <w:abstractNumId w:val="0"/>
  </w:num>
  <w:num w:numId="28" w16cid:durableId="247689832">
    <w:abstractNumId w:val="16"/>
  </w:num>
  <w:num w:numId="29" w16cid:durableId="361983515">
    <w:abstractNumId w:val="15"/>
  </w:num>
  <w:num w:numId="30" w16cid:durableId="1939312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43"/>
    <w:rsid w:val="00072364"/>
    <w:rsid w:val="000755A2"/>
    <w:rsid w:val="00083601"/>
    <w:rsid w:val="00093A5D"/>
    <w:rsid w:val="000F0292"/>
    <w:rsid w:val="00104202"/>
    <w:rsid w:val="00144E8D"/>
    <w:rsid w:val="001F1741"/>
    <w:rsid w:val="00212AC4"/>
    <w:rsid w:val="002533E2"/>
    <w:rsid w:val="002B0C9F"/>
    <w:rsid w:val="002F1546"/>
    <w:rsid w:val="00352C75"/>
    <w:rsid w:val="00357E8F"/>
    <w:rsid w:val="00372E5E"/>
    <w:rsid w:val="003D35D3"/>
    <w:rsid w:val="003E0880"/>
    <w:rsid w:val="00472650"/>
    <w:rsid w:val="00484DE6"/>
    <w:rsid w:val="004A180B"/>
    <w:rsid w:val="004C6D39"/>
    <w:rsid w:val="004F0FF6"/>
    <w:rsid w:val="005139C4"/>
    <w:rsid w:val="00591982"/>
    <w:rsid w:val="00592B9B"/>
    <w:rsid w:val="005B3E33"/>
    <w:rsid w:val="005E0BAB"/>
    <w:rsid w:val="006C52DF"/>
    <w:rsid w:val="006E138C"/>
    <w:rsid w:val="00712425"/>
    <w:rsid w:val="00742543"/>
    <w:rsid w:val="00746C6C"/>
    <w:rsid w:val="00764998"/>
    <w:rsid w:val="00791861"/>
    <w:rsid w:val="007C32CC"/>
    <w:rsid w:val="008D354D"/>
    <w:rsid w:val="009B45C2"/>
    <w:rsid w:val="009D43B2"/>
    <w:rsid w:val="009F093A"/>
    <w:rsid w:val="009F747F"/>
    <w:rsid w:val="00A31EB0"/>
    <w:rsid w:val="00AE3017"/>
    <w:rsid w:val="00B1483A"/>
    <w:rsid w:val="00D0289C"/>
    <w:rsid w:val="00D060FE"/>
    <w:rsid w:val="00D20ED6"/>
    <w:rsid w:val="00D357F3"/>
    <w:rsid w:val="00D61C9C"/>
    <w:rsid w:val="00D63751"/>
    <w:rsid w:val="00D71FD2"/>
    <w:rsid w:val="00DA30C2"/>
    <w:rsid w:val="00E21E67"/>
    <w:rsid w:val="00E41AD8"/>
    <w:rsid w:val="00ED16DA"/>
    <w:rsid w:val="00EF0889"/>
    <w:rsid w:val="00F2691C"/>
    <w:rsid w:val="00F450E8"/>
    <w:rsid w:val="00F56047"/>
    <w:rsid w:val="00FC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13004"/>
  <w15:chartTrackingRefBased/>
  <w15:docId w15:val="{DEB4A177-2C5A-4360-84B8-D30D2837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2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2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42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5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5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5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5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5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5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5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25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5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5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5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55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5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1AD8"/>
    <w:rPr>
      <w:color w:val="96607D" w:themeColor="followedHyperlink"/>
      <w:u w:val="single"/>
    </w:rPr>
  </w:style>
  <w:style w:type="paragraph" w:styleId="ListBullet">
    <w:name w:val="List Bullet"/>
    <w:basedOn w:val="Normal"/>
    <w:uiPriority w:val="99"/>
    <w:unhideWhenUsed/>
    <w:rsid w:val="00F56047"/>
    <w:pPr>
      <w:numPr>
        <w:numId w:val="27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books/NBK553030/" TargetMode="External"/><Relationship Id="rId13" Type="http://schemas.openxmlformats.org/officeDocument/2006/relationships/hyperlink" Target="https://pubmed.ncbi.nlm.nih.gov/1641841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bmed.ncbi.nlm.nih.gov/39237892/" TargetMode="External"/><Relationship Id="rId12" Type="http://schemas.openxmlformats.org/officeDocument/2006/relationships/hyperlink" Target="https://pubmed.ncbi.nlm.nih.gov/32827109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ubmed.ncbi.nlm.nih.gov/26313057/" TargetMode="External"/><Relationship Id="rId11" Type="http://schemas.openxmlformats.org/officeDocument/2006/relationships/hyperlink" Target="https://pmc.ncbi.nlm.nih.gov/articles/PMC4590059/" TargetMode="External"/><Relationship Id="rId5" Type="http://schemas.openxmlformats.org/officeDocument/2006/relationships/hyperlink" Target="https://www.nature.com/articles/s41598-025-04888-3" TargetMode="External"/><Relationship Id="rId15" Type="http://schemas.openxmlformats.org/officeDocument/2006/relationships/hyperlink" Target="https://www.marylandmacs.org/" TargetMode="External"/><Relationship Id="rId10" Type="http://schemas.openxmlformats.org/officeDocument/2006/relationships/hyperlink" Target="https://pmc.ncbi.nlm.nih.gov/articles/PMC458993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books/NBK219248/" TargetMode="External"/><Relationship Id="rId14" Type="http://schemas.openxmlformats.org/officeDocument/2006/relationships/hyperlink" Target="https://pubmed.ncbi.nlm.nih.gov/3282710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Rehfield, Carson</dc:creator>
  <cp:keywords/>
  <dc:description/>
  <cp:lastModifiedBy>Rehfield, Carson</cp:lastModifiedBy>
  <cp:revision>4</cp:revision>
  <dcterms:created xsi:type="dcterms:W3CDTF">2026-08-18T20:43:00Z</dcterms:created>
  <dcterms:modified xsi:type="dcterms:W3CDTF">2026-08-20T16:05:00Z</dcterms:modified>
</cp:coreProperties>
</file>