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1503" w14:textId="304D3258" w:rsidR="00D0289C" w:rsidRDefault="00742543" w:rsidP="00742543">
      <w:pPr>
        <w:pStyle w:val="Title"/>
        <w:jc w:val="center"/>
      </w:pPr>
      <w:r w:rsidRPr="00742543">
        <w:t>MACS Fact Sheet</w:t>
      </w:r>
    </w:p>
    <w:p w14:paraId="46997756" w14:textId="6723D907" w:rsidR="00742543" w:rsidRDefault="005B3E33" w:rsidP="009D43B2">
      <w:pPr>
        <w:pStyle w:val="Heading1"/>
        <w:rPr>
          <w:color w:val="auto"/>
        </w:rPr>
      </w:pPr>
      <w:r>
        <w:rPr>
          <w:color w:val="auto"/>
        </w:rPr>
        <w:t>Precipitated</w:t>
      </w:r>
      <w:r w:rsidR="00212AC4">
        <w:rPr>
          <w:color w:val="auto"/>
        </w:rPr>
        <w:t xml:space="preserve"> Withdrawal</w:t>
      </w:r>
      <w:r>
        <w:rPr>
          <w:color w:val="auto"/>
        </w:rPr>
        <w:t xml:space="preserve"> and Buprenorphine Induction</w:t>
      </w:r>
    </w:p>
    <w:p w14:paraId="28AB96BD" w14:textId="7D0BA82A" w:rsidR="00E41AD8" w:rsidRDefault="005B3E33" w:rsidP="00742543">
      <w:pPr>
        <w:pStyle w:val="Heading2"/>
        <w:rPr>
          <w:color w:val="auto"/>
        </w:rPr>
      </w:pPr>
      <w:r>
        <w:rPr>
          <w:color w:val="auto"/>
        </w:rPr>
        <w:t>Precipitated</w:t>
      </w:r>
      <w:r w:rsidR="00212AC4" w:rsidRPr="00212AC4">
        <w:rPr>
          <w:color w:val="auto"/>
        </w:rPr>
        <w:t xml:space="preserve"> Withdrawal </w:t>
      </w:r>
      <w:r>
        <w:rPr>
          <w:color w:val="auto"/>
        </w:rPr>
        <w:t>(PW</w:t>
      </w:r>
      <w:r w:rsidR="00212AC4" w:rsidRPr="00212AC4">
        <w:rPr>
          <w:color w:val="auto"/>
        </w:rPr>
        <w:t>)</w:t>
      </w:r>
    </w:p>
    <w:p w14:paraId="22A55E07" w14:textId="75074519" w:rsidR="005B3E33" w:rsidRDefault="005B3E33" w:rsidP="00212AC4">
      <w:r w:rsidRPr="005B3E33">
        <w:t xml:space="preserve">Opioid withdrawal includes aches, nausea and vomiting, diarrhea and abdominal cramps, dilated pupils, running nose, and yawning, and can be measured using the Clinical Opiate Withdrawal Scale (COWS). PW is </w:t>
      </w:r>
      <w:hyperlink r:id="rId5" w:history="1">
        <w:r w:rsidRPr="005B3E33">
          <w:rPr>
            <w:rStyle w:val="Hyperlink"/>
          </w:rPr>
          <w:t>characterized by</w:t>
        </w:r>
      </w:hyperlink>
      <w:r w:rsidRPr="005B3E33">
        <w:t xml:space="preserve"> rapid onset or exacerbation of opioid withdrawal symptoms within 1-2 hours following the first dose of buprenorphine. These may subside over the subsequent 6-24 hours but can last longer. Risk of PW may persist for several days after the last use of opioids with a long duration of action, such as methadone or fentanyl. </w:t>
      </w:r>
    </w:p>
    <w:p w14:paraId="2109D466" w14:textId="77777777" w:rsidR="005B3E33" w:rsidRDefault="005B3E33" w:rsidP="00212AC4">
      <w:pPr>
        <w:rPr>
          <w:rFonts w:asciiTheme="majorHAnsi" w:eastAsiaTheme="majorEastAsia" w:hAnsiTheme="majorHAnsi" w:cstheme="majorBidi"/>
          <w:sz w:val="32"/>
          <w:szCs w:val="32"/>
        </w:rPr>
      </w:pPr>
      <w:r w:rsidRPr="005B3E33">
        <w:rPr>
          <w:rFonts w:asciiTheme="majorHAnsi" w:eastAsiaTheme="majorEastAsia" w:hAnsiTheme="majorHAnsi" w:cstheme="majorBidi"/>
          <w:sz w:val="32"/>
          <w:szCs w:val="32"/>
        </w:rPr>
        <w:t>Buprenorphine Initiation and Risk of PW</w:t>
      </w:r>
    </w:p>
    <w:p w14:paraId="21E1783F" w14:textId="15AF01A2" w:rsidR="005B3E33" w:rsidRDefault="005B3E33" w:rsidP="005B3E33">
      <w:r w:rsidRPr="005B3E33">
        <w:t>Buprenorphine, a partial agonist, has a very high affinity for the mu-opioid receptor and will displace any other full agonist opioid on the receptor, which can result in PW.</w:t>
      </w:r>
    </w:p>
    <w:p w14:paraId="73513E7D" w14:textId="03071CF7" w:rsidR="005B3E33" w:rsidRDefault="00ED16DA" w:rsidP="005B3E33">
      <w:r>
        <w:t>Risk of PW can be reduced by:</w:t>
      </w:r>
    </w:p>
    <w:p w14:paraId="7DFCCF9F" w14:textId="4B730E5F" w:rsidR="00ED16DA" w:rsidRDefault="00ED16DA" w:rsidP="00212AC4">
      <w:pPr>
        <w:pStyle w:val="ListParagraph"/>
        <w:numPr>
          <w:ilvl w:val="0"/>
          <w:numId w:val="14"/>
        </w:numPr>
      </w:pPr>
      <w:hyperlink r:id="rId6" w:history="1">
        <w:r w:rsidRPr="00ED16DA">
          <w:rPr>
            <w:rStyle w:val="Hyperlink"/>
          </w:rPr>
          <w:t>Eliminating</w:t>
        </w:r>
      </w:hyperlink>
      <w:r w:rsidRPr="00ED16DA">
        <w:t xml:space="preserve"> the full agonist from the body before buprenorphine initiation (“</w:t>
      </w:r>
      <w:hyperlink r:id="rId7" w:history="1">
        <w:r w:rsidRPr="00ED16DA">
          <w:rPr>
            <w:rStyle w:val="Hyperlink"/>
          </w:rPr>
          <w:t>prerequisite withdrawal</w:t>
        </w:r>
      </w:hyperlink>
      <w:r w:rsidRPr="00ED16DA">
        <w:t>”).</w:t>
      </w:r>
    </w:p>
    <w:p w14:paraId="690923B8" w14:textId="77777777" w:rsidR="00ED16DA" w:rsidRDefault="00ED16DA" w:rsidP="00212AC4">
      <w:pPr>
        <w:pStyle w:val="ListParagraph"/>
        <w:numPr>
          <w:ilvl w:val="0"/>
          <w:numId w:val="14"/>
        </w:numPr>
      </w:pPr>
      <w:r w:rsidRPr="00ED16DA">
        <w:t>Extending the time before buprenorphine is initiated. Patients should refrain from using full agonist opioids for 12-24 hours.</w:t>
      </w:r>
    </w:p>
    <w:p w14:paraId="15320A5C" w14:textId="71B650D3" w:rsidR="00D61C9C" w:rsidRDefault="00ED16DA" w:rsidP="00212AC4">
      <w:pPr>
        <w:pStyle w:val="ListParagraph"/>
        <w:numPr>
          <w:ilvl w:val="0"/>
          <w:numId w:val="14"/>
        </w:numPr>
      </w:pPr>
      <w:r w:rsidRPr="00ED16DA">
        <w:t>Waiting for the onset of moderate to severe withdrawal before initiating buprenorphine. Patients can be educated using the COWS to evaluate the level of withdrawal.</w:t>
      </w:r>
    </w:p>
    <w:p w14:paraId="0F25F884" w14:textId="2199D401" w:rsidR="004A180B" w:rsidRDefault="00ED16DA" w:rsidP="00212AC4">
      <w:pPr>
        <w:pStyle w:val="Heading2"/>
        <w:rPr>
          <w:color w:val="auto"/>
        </w:rPr>
      </w:pPr>
      <w:r>
        <w:rPr>
          <w:color w:val="auto"/>
        </w:rPr>
        <w:t>MACS</w:t>
      </w:r>
      <w:r w:rsidR="00D61C9C">
        <w:rPr>
          <w:color w:val="auto"/>
        </w:rPr>
        <w:t xml:space="preserve"> </w:t>
      </w:r>
      <w:r>
        <w:rPr>
          <w:color w:val="auto"/>
        </w:rPr>
        <w:t>Recommendations</w:t>
      </w:r>
    </w:p>
    <w:p w14:paraId="48A681C6" w14:textId="5B896C7D" w:rsidR="004A180B" w:rsidRDefault="00ED16DA" w:rsidP="00ED16DA">
      <w:pPr>
        <w:pStyle w:val="ListParagraph"/>
        <w:numPr>
          <w:ilvl w:val="0"/>
          <w:numId w:val="15"/>
        </w:numPr>
      </w:pPr>
      <w:r w:rsidRPr="00ED16DA">
        <w:t>Discuss the risk of PW with the patient before buprenorphine initiation.</w:t>
      </w:r>
    </w:p>
    <w:p w14:paraId="00A5F640" w14:textId="60CCBAB6" w:rsidR="00ED16DA" w:rsidRDefault="00ED16DA" w:rsidP="00ED16DA">
      <w:pPr>
        <w:pStyle w:val="ListParagraph"/>
        <w:numPr>
          <w:ilvl w:val="0"/>
          <w:numId w:val="15"/>
        </w:numPr>
      </w:pPr>
      <w:r w:rsidRPr="00ED16DA">
        <w:t xml:space="preserve">Mitigate PW symptoms with </w:t>
      </w:r>
      <w:hyperlink r:id="rId8" w:history="1">
        <w:r w:rsidRPr="00ED16DA">
          <w:rPr>
            <w:rStyle w:val="Hyperlink"/>
          </w:rPr>
          <w:t>additional doses of buprenorphine</w:t>
        </w:r>
      </w:hyperlink>
      <w:r w:rsidRPr="00ED16DA">
        <w:t>. Ensure that patients engaging in a home initiation have enough in the event of a PW.</w:t>
      </w:r>
    </w:p>
    <w:p w14:paraId="5AE764BC" w14:textId="5CA7EE7E" w:rsidR="00ED16DA" w:rsidRDefault="00ED16DA" w:rsidP="00ED16DA">
      <w:pPr>
        <w:pStyle w:val="ListParagraph"/>
        <w:numPr>
          <w:ilvl w:val="0"/>
          <w:numId w:val="15"/>
        </w:numPr>
      </w:pPr>
      <w:r w:rsidRPr="00ED16DA">
        <w:t>Use comfort medications as adjuncts for opioid withdrawal symptoms (e.g., clonidine, hydroxyzine, cyclobenzaprine, loperamide, ondansetron)</w:t>
      </w:r>
      <w:r>
        <w:t>.</w:t>
      </w:r>
    </w:p>
    <w:p w14:paraId="78FFDA11" w14:textId="5A5C6231" w:rsidR="00ED16DA" w:rsidRDefault="00ED16DA" w:rsidP="00ED16DA">
      <w:pPr>
        <w:pStyle w:val="ListParagraph"/>
        <w:numPr>
          <w:ilvl w:val="0"/>
          <w:numId w:val="15"/>
        </w:numPr>
      </w:pPr>
      <w:r w:rsidRPr="00ED16DA">
        <w:t>Consider initiation frameworks</w:t>
      </w:r>
      <w:r>
        <w:t xml:space="preserve">, </w:t>
      </w:r>
      <w:r w:rsidRPr="00ED16DA">
        <w:t>along with documented, shared decision-making with the patient.</w:t>
      </w:r>
    </w:p>
    <w:p w14:paraId="15028F98" w14:textId="7C5495F5" w:rsidR="002F1546" w:rsidRDefault="002F1546" w:rsidP="002F1546">
      <w:pPr>
        <w:pStyle w:val="ListParagraph"/>
        <w:numPr>
          <w:ilvl w:val="1"/>
          <w:numId w:val="15"/>
        </w:numPr>
      </w:pPr>
      <w:r w:rsidRPr="002F1546">
        <w:t>High-dose method: initiate buprenorphine once mild to moderate withdrawal symptoms have started or after abstinence has occurred (COWS &gt; 8)</w:t>
      </w:r>
      <w:r>
        <w:t>.</w:t>
      </w:r>
    </w:p>
    <w:p w14:paraId="1822C1BA" w14:textId="5D67E864" w:rsidR="002F1546" w:rsidRDefault="002F1546" w:rsidP="002F1546">
      <w:pPr>
        <w:pStyle w:val="ListParagraph"/>
        <w:numPr>
          <w:ilvl w:val="1"/>
          <w:numId w:val="15"/>
        </w:numPr>
      </w:pPr>
      <w:r w:rsidRPr="002F1546">
        <w:lastRenderedPageBreak/>
        <w:t>Low-dose method: initiate buprenorphine even in the absence of significant withdrawal symptoms, even as they continue to use other opioids.</w:t>
      </w:r>
    </w:p>
    <w:p w14:paraId="1912FE9E" w14:textId="43A0EE71" w:rsidR="002F1546" w:rsidRDefault="002F1546" w:rsidP="002F1546">
      <w:pPr>
        <w:pStyle w:val="Heading2"/>
        <w:rPr>
          <w:color w:val="auto"/>
        </w:rPr>
      </w:pPr>
      <w:r>
        <w:rPr>
          <w:color w:val="auto"/>
        </w:rPr>
        <w:t>Buprenorphine Initiation Frameworks</w:t>
      </w:r>
    </w:p>
    <w:p w14:paraId="5C7C5A18" w14:textId="0C5E01CA" w:rsidR="002F1546" w:rsidRDefault="002F1546" w:rsidP="002F1546">
      <w:pPr>
        <w:pStyle w:val="ListParagraph"/>
        <w:numPr>
          <w:ilvl w:val="0"/>
          <w:numId w:val="16"/>
        </w:numPr>
      </w:pPr>
      <w:proofErr w:type="gramStart"/>
      <w:r w:rsidRPr="002F1546">
        <w:t>Low-dose</w:t>
      </w:r>
      <w:proofErr w:type="gramEnd"/>
      <w:r w:rsidRPr="002F1546">
        <w:t xml:space="preserve"> (</w:t>
      </w:r>
      <w:hyperlink r:id="rId9" w:history="1">
        <w:r w:rsidRPr="002F1546">
          <w:rPr>
            <w:rStyle w:val="Hyperlink"/>
          </w:rPr>
          <w:t>Bernese method</w:t>
        </w:r>
      </w:hyperlink>
      <w:r w:rsidRPr="002F1546">
        <w:t>)</w:t>
      </w:r>
      <w:r>
        <w:t>:</w:t>
      </w:r>
      <w:r w:rsidRPr="002F1546">
        <w:t xml:space="preserve"> </w:t>
      </w:r>
      <w:r w:rsidRPr="002F1546">
        <w:t>Longer washout and lower starting dose (&lt;2mg</w:t>
      </w:r>
      <w:r>
        <w:t>)</w:t>
      </w:r>
    </w:p>
    <w:p w14:paraId="373F74EA" w14:textId="1519A83C" w:rsidR="002F1546" w:rsidRDefault="002F1546" w:rsidP="002F1546">
      <w:pPr>
        <w:pStyle w:val="ListParagraph"/>
        <w:numPr>
          <w:ilvl w:val="0"/>
          <w:numId w:val="16"/>
        </w:numPr>
      </w:pPr>
      <w:r w:rsidRPr="002F1546">
        <w:t>High-dose (</w:t>
      </w:r>
      <w:proofErr w:type="spellStart"/>
      <w:r w:rsidR="00D20ED6">
        <w:fldChar w:fldCharType="begin"/>
      </w:r>
      <w:r w:rsidR="00D20ED6">
        <w:instrText>HYPERLINK "https://www.nih.gov/news-events/nih-research-matters/high-dose-buprenorphine-opioid-withdrawal"</w:instrText>
      </w:r>
      <w:r w:rsidR="00D20ED6">
        <w:fldChar w:fldCharType="separate"/>
      </w:r>
      <w:r w:rsidRPr="00D20ED6">
        <w:rPr>
          <w:rStyle w:val="Hyperlink"/>
        </w:rPr>
        <w:t>Macrodosing</w:t>
      </w:r>
      <w:proofErr w:type="spellEnd"/>
      <w:r w:rsidR="00D20ED6">
        <w:fldChar w:fldCharType="end"/>
      </w:r>
      <w:r>
        <w:t xml:space="preserve">): </w:t>
      </w:r>
      <w:r w:rsidR="00D20ED6" w:rsidRPr="00D20ED6">
        <w:t>Rapid escalation of buprenorphine dose (&gt;16mg)</w:t>
      </w:r>
    </w:p>
    <w:p w14:paraId="22D5473B" w14:textId="5F75C562" w:rsidR="00D20ED6" w:rsidRPr="002F1546" w:rsidRDefault="00D20ED6" w:rsidP="002F1546">
      <w:pPr>
        <w:pStyle w:val="ListParagraph"/>
        <w:numPr>
          <w:ilvl w:val="0"/>
          <w:numId w:val="16"/>
        </w:numPr>
      </w:pPr>
      <w:r w:rsidRPr="00D20ED6">
        <w:t>Crossover dosing (</w:t>
      </w:r>
      <w:hyperlink r:id="rId10" w:history="1">
        <w:r w:rsidRPr="00D20ED6">
          <w:rPr>
            <w:rStyle w:val="Hyperlink"/>
          </w:rPr>
          <w:t>Howard Street Method</w:t>
        </w:r>
      </w:hyperlink>
      <w:r>
        <w:t>):</w:t>
      </w:r>
      <w:r w:rsidRPr="00D20ED6">
        <w:t xml:space="preserve"> </w:t>
      </w:r>
      <w:r w:rsidRPr="00D20ED6">
        <w:t>Buprenorphine titration concurrent with full agonist taper</w:t>
      </w:r>
    </w:p>
    <w:p w14:paraId="0485A8A7" w14:textId="638311BF" w:rsidR="007C32CC" w:rsidRPr="000755A2" w:rsidRDefault="007C32CC" w:rsidP="007C32CC">
      <w:pPr>
        <w:pStyle w:val="Heading2"/>
        <w:jc w:val="center"/>
        <w:rPr>
          <w:color w:val="auto"/>
        </w:rPr>
      </w:pPr>
      <w:r w:rsidRPr="000755A2">
        <w:rPr>
          <w:color w:val="auto"/>
        </w:rPr>
        <w:t xml:space="preserve">1-855-337-MACS (6227) | </w:t>
      </w:r>
      <w:hyperlink r:id="rId11" w:history="1">
        <w:r w:rsidRPr="000755A2">
          <w:rPr>
            <w:rStyle w:val="Hyperlink"/>
            <w:color w:val="auto"/>
          </w:rPr>
          <w:t>www.marylandmacs.org</w:t>
        </w:r>
      </w:hyperlink>
      <w:r w:rsidRPr="000755A2">
        <w:rPr>
          <w:color w:val="auto"/>
        </w:rPr>
        <w:t xml:space="preserve"> | macs@som.umaryland.edu</w:t>
      </w:r>
    </w:p>
    <w:sectPr w:rsidR="007C32CC" w:rsidRPr="00075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503"/>
    <w:multiLevelType w:val="hybridMultilevel"/>
    <w:tmpl w:val="D36EA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4534"/>
    <w:multiLevelType w:val="hybridMultilevel"/>
    <w:tmpl w:val="21D8D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65129"/>
    <w:multiLevelType w:val="hybridMultilevel"/>
    <w:tmpl w:val="C82E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17EDF"/>
    <w:multiLevelType w:val="hybridMultilevel"/>
    <w:tmpl w:val="F3C2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B38B3"/>
    <w:multiLevelType w:val="hybridMultilevel"/>
    <w:tmpl w:val="2A6AA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11D63"/>
    <w:multiLevelType w:val="hybridMultilevel"/>
    <w:tmpl w:val="1CB2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F02CD"/>
    <w:multiLevelType w:val="hybridMultilevel"/>
    <w:tmpl w:val="39DA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E25B4"/>
    <w:multiLevelType w:val="hybridMultilevel"/>
    <w:tmpl w:val="396EA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80079"/>
    <w:multiLevelType w:val="hybridMultilevel"/>
    <w:tmpl w:val="BE845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F3226"/>
    <w:multiLevelType w:val="hybridMultilevel"/>
    <w:tmpl w:val="964C7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27653"/>
    <w:multiLevelType w:val="hybridMultilevel"/>
    <w:tmpl w:val="65D64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6508D"/>
    <w:multiLevelType w:val="hybridMultilevel"/>
    <w:tmpl w:val="F2D8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80FC3"/>
    <w:multiLevelType w:val="hybridMultilevel"/>
    <w:tmpl w:val="9E7A4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507D1"/>
    <w:multiLevelType w:val="hybridMultilevel"/>
    <w:tmpl w:val="2C20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A5477"/>
    <w:multiLevelType w:val="hybridMultilevel"/>
    <w:tmpl w:val="3C40E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E69E0"/>
    <w:multiLevelType w:val="hybridMultilevel"/>
    <w:tmpl w:val="E994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461987">
    <w:abstractNumId w:val="14"/>
  </w:num>
  <w:num w:numId="2" w16cid:durableId="481387728">
    <w:abstractNumId w:val="9"/>
  </w:num>
  <w:num w:numId="3" w16cid:durableId="1683622399">
    <w:abstractNumId w:val="7"/>
  </w:num>
  <w:num w:numId="4" w16cid:durableId="388695365">
    <w:abstractNumId w:val="11"/>
  </w:num>
  <w:num w:numId="5" w16cid:durableId="516386396">
    <w:abstractNumId w:val="1"/>
  </w:num>
  <w:num w:numId="6" w16cid:durableId="669068069">
    <w:abstractNumId w:val="12"/>
  </w:num>
  <w:num w:numId="7" w16cid:durableId="2139954297">
    <w:abstractNumId w:val="3"/>
  </w:num>
  <w:num w:numId="8" w16cid:durableId="442577164">
    <w:abstractNumId w:val="10"/>
  </w:num>
  <w:num w:numId="9" w16cid:durableId="1344672803">
    <w:abstractNumId w:val="6"/>
  </w:num>
  <w:num w:numId="10" w16cid:durableId="1418868512">
    <w:abstractNumId w:val="2"/>
  </w:num>
  <w:num w:numId="11" w16cid:durableId="651368239">
    <w:abstractNumId w:val="5"/>
  </w:num>
  <w:num w:numId="12" w16cid:durableId="1922980085">
    <w:abstractNumId w:val="13"/>
  </w:num>
  <w:num w:numId="13" w16cid:durableId="722102068">
    <w:abstractNumId w:val="4"/>
  </w:num>
  <w:num w:numId="14" w16cid:durableId="1126242287">
    <w:abstractNumId w:val="8"/>
  </w:num>
  <w:num w:numId="15" w16cid:durableId="1777821078">
    <w:abstractNumId w:val="0"/>
  </w:num>
  <w:num w:numId="16" w16cid:durableId="14017819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43"/>
    <w:rsid w:val="00072364"/>
    <w:rsid w:val="000755A2"/>
    <w:rsid w:val="00083601"/>
    <w:rsid w:val="00093A5D"/>
    <w:rsid w:val="000F0292"/>
    <w:rsid w:val="00144E8D"/>
    <w:rsid w:val="00212AC4"/>
    <w:rsid w:val="002533E2"/>
    <w:rsid w:val="002B0C9F"/>
    <w:rsid w:val="002F1546"/>
    <w:rsid w:val="00357E8F"/>
    <w:rsid w:val="003D35D3"/>
    <w:rsid w:val="00472650"/>
    <w:rsid w:val="00484DE6"/>
    <w:rsid w:val="004A180B"/>
    <w:rsid w:val="004F0FF6"/>
    <w:rsid w:val="005139C4"/>
    <w:rsid w:val="00591982"/>
    <w:rsid w:val="005B3E33"/>
    <w:rsid w:val="005E0BAB"/>
    <w:rsid w:val="006E138C"/>
    <w:rsid w:val="00742543"/>
    <w:rsid w:val="00746C6C"/>
    <w:rsid w:val="00764998"/>
    <w:rsid w:val="00791861"/>
    <w:rsid w:val="007C32CC"/>
    <w:rsid w:val="009D43B2"/>
    <w:rsid w:val="009F093A"/>
    <w:rsid w:val="009F747F"/>
    <w:rsid w:val="00AE3017"/>
    <w:rsid w:val="00D0289C"/>
    <w:rsid w:val="00D060FE"/>
    <w:rsid w:val="00D20ED6"/>
    <w:rsid w:val="00D61C9C"/>
    <w:rsid w:val="00D63751"/>
    <w:rsid w:val="00DA30C2"/>
    <w:rsid w:val="00E21E67"/>
    <w:rsid w:val="00E41AD8"/>
    <w:rsid w:val="00ED16DA"/>
    <w:rsid w:val="00EF0889"/>
    <w:rsid w:val="00F450E8"/>
    <w:rsid w:val="00FC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13004"/>
  <w15:chartTrackingRefBased/>
  <w15:docId w15:val="{DEB4A177-2C5A-4360-84B8-D30D2837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42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5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55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5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1A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793452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scpjournal.biomedcentral.com/articles/10.1186/s13722-021-00244-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books/NBK64245" TargetMode="External"/><Relationship Id="rId11" Type="http://schemas.openxmlformats.org/officeDocument/2006/relationships/hyperlink" Target="https://www.marylandmacs.org/" TargetMode="External"/><Relationship Id="rId5" Type="http://schemas.openxmlformats.org/officeDocument/2006/relationships/hyperlink" Target="https://www.samhsa.gov/sites/default/files/quick-start-guide.pdf" TargetMode="External"/><Relationship Id="rId10" Type="http://schemas.openxmlformats.org/officeDocument/2006/relationships/hyperlink" Target="https://pubmed.ncbi.nlm.nih.gov/3757910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3757910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2553</Characters>
  <Application>Microsoft Office Word</Application>
  <DocSecurity>0</DocSecurity>
  <Lines>52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Rehfield, Carson</dc:creator>
  <cp:keywords/>
  <dc:description/>
  <cp:lastModifiedBy>Rehfield, Carson</cp:lastModifiedBy>
  <cp:revision>2</cp:revision>
  <dcterms:created xsi:type="dcterms:W3CDTF">2026-04-06T18:45:00Z</dcterms:created>
  <dcterms:modified xsi:type="dcterms:W3CDTF">2026-04-06T18:45:00Z</dcterms:modified>
</cp:coreProperties>
</file>